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70F1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广州增城至佛山高速公路（增城至天河段）管理、养护及服务房屋工程检测技术分包服务</w:t>
      </w:r>
    </w:p>
    <w:p w14:paraId="1576004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784098DF">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0AE5DD72">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 技术标准及要求：符合国家及省、市有关检测合格标准，符合规范及采购人有关要求。</w:t>
      </w:r>
    </w:p>
    <w:p w14:paraId="0A2D4065">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1.2 安全目标：严格执行有关安全生产的法律法规和规章制度，确保项目服务期内人员无安全事故发生。</w:t>
      </w:r>
    </w:p>
    <w:p w14:paraId="7F65623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1.3 服务期：自合同签订之日起至项目完工止。</w:t>
      </w:r>
    </w:p>
    <w:p w14:paraId="0EB0DDA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1.4 询比范围：广州增城至佛山高速公路（增城至天河段）管理、养护及服务房屋工程检测技术分包服务。</w:t>
      </w:r>
    </w:p>
    <w:p w14:paraId="6A4E728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sz w:val="24"/>
          <w:lang w:val="en-US" w:eastAsia="zh-CN"/>
        </w:rPr>
      </w:pPr>
      <w:r>
        <w:rPr>
          <w:rFonts w:hint="eastAsia" w:cs="Times New Roman"/>
          <w:sz w:val="24"/>
          <w:lang w:val="en-US" w:eastAsia="zh-CN"/>
        </w:rPr>
        <w:t>1.5 最高限价：1262799.58元</w:t>
      </w:r>
    </w:p>
    <w:p w14:paraId="7B46CA98">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1.6 服务地点：广州市。</w:t>
      </w:r>
    </w:p>
    <w:p w14:paraId="369D4C7C">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项目</w:t>
      </w:r>
      <w:r>
        <w:rPr>
          <w:rFonts w:hint="eastAsia" w:ascii="Times New Roman" w:hAnsi="Times New Roman" w:eastAsia="宋体" w:cs="Times New Roman"/>
          <w:b/>
          <w:snapToGrid w:val="0"/>
          <w:color w:val="auto"/>
          <w:kern w:val="0"/>
          <w:sz w:val="24"/>
          <w:lang w:val="en-US" w:eastAsia="zh-CN"/>
        </w:rPr>
        <w:t>需求</w:t>
      </w:r>
    </w:p>
    <w:bookmarkEnd w:id="0"/>
    <w:bookmarkEnd w:id="1"/>
    <w:p w14:paraId="7F238E90">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为保证顺利完成广州增城至佛山高速公路（增城至天河段）管理、养护及服务房屋工程检测项目的工作内容，需对该项目个别区域进行见证取样检验、结构检测、节能检测、室内环境与防雷检测、智能检测以及消防设施检测等开展技术服务，按照国家现行技术标准和规范要求完成相关检测工作，并出具检测报告。</w:t>
      </w:r>
    </w:p>
    <w:p w14:paraId="37B4CB41">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1FEEEAD9">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比采购要求供应商具有独立法人资格（1）持有工商行政管理部门颁发的有效的营业执照；（2）具有建设行政主管部门颁发的建设工程质量检测资质证书（同时含主体结构工程现场检测、见证取样检测），且证书在有效期内；或具备建设行政主管部门颁发的建设工程质量检测机构综合资质证书或专项资质证书（专项资质证书同时包括：建筑材料及构配件、主体结构及装饰装修），且证书在有效期内；</w:t>
      </w:r>
    </w:p>
    <w:p w14:paraId="5B39C4FB">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注：①资质内容按照《住房和城乡建设部关于印发《建设工程质量检测机构资质标准》的通知》建质规〔2023〕1号、《住房和城乡建设部办公厅关于做好建设工程质量检测机构新旧资质标准过渡工作的通知》建办质函〔2023〕100号文规定，证书须在有效期以内。（3）具有质量技术监督部门颁发的CMA计量认证合格证书或市场监督管理部门颁发的CMA检验检测机构资质认定证书（证书认证范围需同时含工程结构及构配件、建设工程材料）且证书须在有效期内；如供应商检测机构资质证书的检测项目与上述名称不同，但表达的意思一致也视为满足该项条件。（4）近三年内（2022年1月1日至今）至少独立承揽过一项房建工程检测业绩。</w:t>
      </w:r>
    </w:p>
    <w:p w14:paraId="6AEE3A5F">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3.2本次询比采购不接受联合体报价。</w:t>
      </w:r>
    </w:p>
    <w:p w14:paraId="7EA9ACC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3.3与采购人存在利害关系可能影响询比公正性的法人，不得参加报价；若存在单位负责人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的不同单位、不得同时参加本次询比采购项目的报价，否则均按废标处理。</w:t>
      </w:r>
    </w:p>
    <w:p w14:paraId="1A152020">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并符合资格要求的供应商，请于</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1</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20</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cs="Times New Roman"/>
          <w:color w:val="auto"/>
          <w:sz w:val="24"/>
          <w:lang w:val="en-US" w:eastAsia="zh-CN"/>
        </w:rPr>
        <w:t>资质要求、</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cs="Times New Roman"/>
          <w:color w:val="auto"/>
          <w:sz w:val="24"/>
          <w:lang w:val="en-US" w:eastAsia="zh-CN"/>
        </w:rPr>
        <w:t>人</w:t>
      </w:r>
      <w:r>
        <w:rPr>
          <w:rFonts w:hint="eastAsia" w:ascii="Times New Roman" w:hAnsi="Times New Roman" w:eastAsia="宋体" w:cs="Times New Roman"/>
          <w:color w:val="auto"/>
          <w:sz w:val="24"/>
          <w:lang w:val="en-US" w:eastAsia="zh-CN"/>
        </w:rPr>
        <w:t>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r>
        <w:rPr>
          <w:rFonts w:hint="eastAsia" w:cs="Times New Roman"/>
          <w:color w:val="auto"/>
          <w:sz w:val="24"/>
          <w:lang w:val="en-US" w:eastAsia="zh-CN"/>
        </w:rPr>
        <w:t>。</w:t>
      </w:r>
    </w:p>
    <w:p w14:paraId="6550018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55A24607">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0624521E">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77271C4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069085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17A40F9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5B04F29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89D6A1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bookmarkStart w:id="8" w:name="_GoBack"/>
      <w:bookmarkEnd w:id="8"/>
      <w:r>
        <w:rPr>
          <w:rFonts w:hint="eastAsia" w:ascii="Times New Roman" w:hAnsi="Times New Roman" w:eastAsia="宋体" w:cs="Times New Roman"/>
          <w:color w:val="000000"/>
          <w:sz w:val="24"/>
        </w:rPr>
        <w:t>广州诚安路桥检测有限公司</w:t>
      </w:r>
    </w:p>
    <w:p w14:paraId="0C1A090C">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5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16 </w:t>
      </w:r>
      <w:r>
        <w:rPr>
          <w:rFonts w:hint="eastAsia" w:ascii="Times New Roman" w:hAnsi="Times New Roman" w:eastAsia="宋体" w:cs="Times New Roman"/>
          <w:color w:val="000000"/>
          <w:sz w:val="24"/>
          <w:highlight w:val="none"/>
        </w:rPr>
        <w:t>日</w:t>
      </w:r>
    </w:p>
    <w:p w14:paraId="1B57597B">
      <w:r>
        <w:br w:type="page"/>
      </w:r>
    </w:p>
    <w:p w14:paraId="1A68743B">
      <w:pPr>
        <w:pStyle w:val="2"/>
        <w:ind w:left="0" w:leftChars="0" w:firstLine="0" w:firstLineChars="0"/>
        <w:rPr>
          <w:rFonts w:hint="default" w:eastAsia="宋体"/>
          <w:b/>
          <w:bCs/>
          <w:sz w:val="28"/>
          <w:szCs w:val="28"/>
          <w:lang w:val="en-US" w:eastAsia="zh-CN"/>
        </w:rPr>
      </w:pPr>
    </w:p>
    <w:p w14:paraId="657275A1">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eastAsia" w:eastAsia="方正小标宋简体" w:cs="Times New Roman"/>
          <w:b w:val="0"/>
          <w:bCs w:val="0"/>
          <w:snapToGrid/>
          <w:kern w:val="2"/>
          <w:sz w:val="44"/>
          <w:szCs w:val="24"/>
          <w:highlight w:val="none"/>
          <w:lang w:val="en-US" w:eastAsia="zh-CN"/>
        </w:rPr>
        <w:t xml:space="preserve">意 向 </w:t>
      </w: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08A52B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DE67186">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082A4F9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广州增城至佛山高速公路（增城至天河段）管理、养护及服务房屋工程检测技术分包服务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7E0E8F7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1C9A618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5EC7D8AD">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D370571">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0139DFF0">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08A9C03">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335F8377">
      <w:pPr>
        <w:jc w:val="right"/>
        <w:rPr>
          <w:rFonts w:hint="eastAsia" w:ascii="仿宋" w:hAnsi="仿宋" w:eastAsia="仿宋" w:cs="仿宋"/>
          <w:sz w:val="28"/>
          <w:szCs w:val="28"/>
          <w:highlight w:val="none"/>
        </w:rPr>
      </w:pPr>
    </w:p>
    <w:p w14:paraId="49C7D9B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1790F13E">
      <w:pPr>
        <w:rPr>
          <w:rFonts w:hint="eastAsia" w:ascii="仿宋" w:hAnsi="仿宋" w:eastAsia="仿宋" w:cs="仿宋"/>
          <w:sz w:val="28"/>
          <w:szCs w:val="28"/>
          <w:highlight w:val="none"/>
        </w:rPr>
      </w:pPr>
      <w:r>
        <w:rPr>
          <w:rFonts w:hint="eastAsia" w:ascii="仿宋" w:hAnsi="仿宋" w:eastAsia="仿宋" w:cs="仿宋"/>
          <w:sz w:val="28"/>
          <w:szCs w:val="28"/>
          <w:highlight w:val="none"/>
        </w:rPr>
        <w:br w:type="page"/>
      </w:r>
    </w:p>
    <w:p w14:paraId="0630FA31">
      <w:pPr>
        <w:pStyle w:val="4"/>
        <w:jc w:val="center"/>
        <w:rPr>
          <w:rFonts w:hint="default" w:ascii="Times New Roman" w:hAnsi="Times New Roman" w:eastAsia="宋体" w:cs="Times New Roman"/>
          <w:b/>
          <w:bCs/>
          <w:lang w:val="en-US" w:eastAsia="zh-CN"/>
        </w:rPr>
      </w:pPr>
      <w:bookmarkStart w:id="5" w:name="_Toc152047200"/>
      <w:bookmarkStart w:id="6" w:name="_Toc179715693"/>
      <w:bookmarkStart w:id="7" w:name="_Toc144974404"/>
    </w:p>
    <w:bookmarkEnd w:id="5"/>
    <w:bookmarkEnd w:id="6"/>
    <w:bookmarkEnd w:id="7"/>
    <w:p w14:paraId="1A841326">
      <w:pPr>
        <w:tabs>
          <w:tab w:val="left" w:pos="3229"/>
        </w:tabs>
        <w:spacing w:line="460" w:lineRule="exact"/>
        <w:rPr>
          <w:rFonts w:hint="eastAsia" w:ascii="Times New Roman" w:hAnsi="Times New Roman" w:eastAsia="宋体" w:cs="Times New Roman"/>
          <w:szCs w:val="21"/>
        </w:rPr>
      </w:pPr>
      <w:r>
        <w:rPr>
          <w:rFonts w:hint="eastAsia" w:ascii="Times New Roman" w:hAnsi="Times New Roman" w:eastAsia="宋体" w:cs="Times New Roman"/>
          <w:b/>
          <w:bCs/>
          <w:szCs w:val="21"/>
        </w:rPr>
        <w:t>附录</w:t>
      </w:r>
    </w:p>
    <w:p w14:paraId="570FE50E">
      <w:pPr>
        <w:spacing w:line="460" w:lineRule="exact"/>
        <w:jc w:val="center"/>
        <w:rPr>
          <w:rFonts w:hint="eastAsia" w:ascii="Times New Roman" w:hAnsi="Times New Roman" w:eastAsia="宋体" w:cs="Times New Roman"/>
          <w:b/>
          <w:sz w:val="24"/>
        </w:rPr>
      </w:pPr>
      <w:r>
        <w:rPr>
          <w:rFonts w:hint="eastAsia" w:ascii="Times New Roman" w:hAnsi="Times New Roman" w:eastAsia="宋体" w:cs="Times New Roman"/>
          <w:b/>
          <w:sz w:val="24"/>
        </w:rPr>
        <w:t>附录1  资格审查条件（资格最低要求）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1"/>
      </w:tblGrid>
      <w:tr w14:paraId="5486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491" w:type="dxa"/>
            <w:tcBorders>
              <w:top w:val="single" w:color="auto" w:sz="4" w:space="0"/>
              <w:left w:val="single" w:color="auto" w:sz="4" w:space="0"/>
              <w:bottom w:val="single" w:color="auto" w:sz="4" w:space="0"/>
              <w:right w:val="single" w:color="auto" w:sz="4" w:space="0"/>
            </w:tcBorders>
            <w:noWrap w:val="0"/>
            <w:vAlign w:val="center"/>
          </w:tcPr>
          <w:p w14:paraId="7C8C4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sz w:val="24"/>
              </w:rPr>
            </w:pPr>
            <w:r>
              <w:rPr>
                <w:rFonts w:hint="eastAsia" w:ascii="Times New Roman" w:hAnsi="Times New Roman" w:eastAsia="宋体" w:cs="Times New Roman"/>
                <w:b/>
                <w:sz w:val="24"/>
              </w:rPr>
              <w:t>资格要求</w:t>
            </w:r>
          </w:p>
        </w:tc>
      </w:tr>
      <w:tr w14:paraId="4C3C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9491" w:type="dxa"/>
            <w:tcBorders>
              <w:top w:val="single" w:color="auto" w:sz="4" w:space="0"/>
              <w:left w:val="single" w:color="auto" w:sz="4" w:space="0"/>
              <w:bottom w:val="single" w:color="auto" w:sz="4" w:space="0"/>
              <w:right w:val="single" w:color="auto" w:sz="4" w:space="0"/>
            </w:tcBorders>
            <w:noWrap w:val="0"/>
            <w:vAlign w:val="center"/>
          </w:tcPr>
          <w:p w14:paraId="2520B7D1">
            <w:pPr>
              <w:snapToGrid w:val="0"/>
              <w:spacing w:line="460" w:lineRule="exact"/>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rPr>
              <w:t>持有工商行政管理部门颁发的有效的营业执照；</w:t>
            </w:r>
          </w:p>
          <w:p w14:paraId="7FC7E413">
            <w:pPr>
              <w:snapToGrid w:val="0"/>
              <w:spacing w:line="460" w:lineRule="exact"/>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rPr>
              <w:t>（2）</w:t>
            </w:r>
            <w:r>
              <w:rPr>
                <w:rFonts w:hint="eastAsia" w:ascii="Times New Roman" w:hAnsi="Times New Roman" w:eastAsia="宋体" w:cs="Times New Roman"/>
                <w:sz w:val="24"/>
                <w:highlight w:val="none"/>
                <w:lang w:val="en-US" w:eastAsia="zh-CN"/>
              </w:rPr>
              <w:t>同时具有建设行政主管部门颁发的建设工程质量检测机构资质证书（检测范围需同时含主体结构工程现场检测、见证取样检测）；或具备建设行政主管部门颁发的建设工程质量检测机构综合资质证书或专项资质证书（专项资质证书同时包括：建筑材料及构配件、主体结构及装饰装修）。</w:t>
            </w:r>
          </w:p>
          <w:p w14:paraId="0263BDBB">
            <w:pPr>
              <w:snapToGrid w:val="0"/>
              <w:spacing w:line="460" w:lineRule="exact"/>
              <w:rPr>
                <w:rFonts w:hint="eastAsia" w:ascii="Times New Roman" w:hAnsi="Times New Roman" w:eastAsia="宋体" w:cs="Times New Roman"/>
                <w:sz w:val="24"/>
                <w:lang w:eastAsia="zh-CN"/>
              </w:rPr>
            </w:pP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3</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具有质量技术监督部门颁发的CMA计量认证合格证书或市场监督管理部门颁发的CMA检验检测机构资质认定证书且证书须在有效期内（证书认证范围需同时含工程结构及构配件、建设工程材料）；如投标人检测机构资质证书的检测项目与上述名称不同，但表达的意思一致也视为满足该项条件。</w:t>
            </w:r>
          </w:p>
        </w:tc>
      </w:tr>
    </w:tbl>
    <w:p w14:paraId="615A6866">
      <w:pPr>
        <w:spacing w:line="460" w:lineRule="exact"/>
        <w:rPr>
          <w:rFonts w:hint="eastAsia" w:ascii="Times New Roman" w:hAnsi="Times New Roman" w:eastAsia="宋体" w:cs="Times New Roman"/>
          <w:bCs/>
          <w:sz w:val="18"/>
          <w:szCs w:val="18"/>
        </w:rPr>
      </w:pPr>
      <w:r>
        <w:rPr>
          <w:rFonts w:hint="eastAsia" w:ascii="Times New Roman" w:hAnsi="Times New Roman" w:eastAsia="宋体" w:cs="Times New Roman"/>
          <w:sz w:val="24"/>
        </w:rPr>
        <w:t xml:space="preserve"> </w:t>
      </w:r>
      <w:r>
        <w:rPr>
          <w:rFonts w:hint="eastAsia" w:ascii="Times New Roman" w:hAnsi="Times New Roman" w:eastAsia="宋体" w:cs="Times New Roman"/>
          <w:bCs/>
          <w:sz w:val="18"/>
          <w:szCs w:val="18"/>
        </w:rPr>
        <w:t xml:space="preserve">  </w:t>
      </w:r>
      <w:r>
        <w:rPr>
          <w:rFonts w:hint="eastAsia" w:ascii="Times New Roman" w:hAnsi="Times New Roman" w:eastAsia="宋体" w:cs="Times New Roman"/>
          <w:b/>
          <w:bCs w:val="0"/>
          <w:sz w:val="18"/>
          <w:szCs w:val="18"/>
        </w:rPr>
        <w:t>注：需在响应文件格式表3-1后附上述证明材料</w:t>
      </w:r>
    </w:p>
    <w:p w14:paraId="04DFEC03">
      <w:pPr>
        <w:spacing w:line="460" w:lineRule="exact"/>
        <w:rPr>
          <w:rFonts w:hint="eastAsia" w:ascii="Times New Roman" w:hAnsi="Times New Roman" w:eastAsia="宋体" w:cs="Times New Roman"/>
          <w:bCs/>
          <w:sz w:val="18"/>
          <w:szCs w:val="18"/>
        </w:rPr>
      </w:pPr>
    </w:p>
    <w:p w14:paraId="394D3F39">
      <w:pPr>
        <w:spacing w:line="460" w:lineRule="exact"/>
        <w:jc w:val="center"/>
        <w:rPr>
          <w:rFonts w:hint="eastAsia" w:ascii="Times New Roman" w:hAnsi="Times New Roman" w:eastAsia="宋体" w:cs="Times New Roman"/>
          <w:b/>
          <w:sz w:val="24"/>
        </w:rPr>
      </w:pPr>
      <w:r>
        <w:rPr>
          <w:rFonts w:hint="eastAsia" w:ascii="Times New Roman" w:hAnsi="Times New Roman" w:eastAsia="宋体" w:cs="Times New Roman"/>
          <w:b/>
          <w:sz w:val="24"/>
        </w:rPr>
        <w:t>附录2  资格审查条件（业绩最低要求）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14:paraId="4297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340" w:type="dxa"/>
            <w:noWrap w:val="0"/>
            <w:vAlign w:val="center"/>
          </w:tcPr>
          <w:p w14:paraId="5497E68E">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业绩要求</w:t>
            </w:r>
          </w:p>
        </w:tc>
      </w:tr>
      <w:tr w14:paraId="6BDA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340" w:type="dxa"/>
            <w:noWrap w:val="0"/>
            <w:vAlign w:val="center"/>
          </w:tcPr>
          <w:p w14:paraId="0913E80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宋体" w:cs="Times New Roman"/>
                <w:b/>
                <w:szCs w:val="21"/>
                <w:lang w:eastAsia="zh-CN"/>
              </w:rPr>
            </w:pPr>
            <w:r>
              <w:rPr>
                <w:rFonts w:hint="eastAsia" w:ascii="Times New Roman" w:hAnsi="Times New Roman" w:eastAsia="宋体" w:cs="Times New Roman"/>
                <w:sz w:val="24"/>
              </w:rPr>
              <w:t>近三年（</w:t>
            </w:r>
            <w:r>
              <w:rPr>
                <w:rFonts w:hint="eastAsia" w:ascii="Times New Roman" w:hAnsi="Times New Roman" w:eastAsia="宋体" w:cs="Times New Roman"/>
                <w:sz w:val="24"/>
                <w:highlight w:val="none"/>
              </w:rPr>
              <w:t>20</w:t>
            </w:r>
            <w:r>
              <w:rPr>
                <w:rFonts w:hint="eastAsia" w:ascii="Times New Roman" w:hAnsi="Times New Roman" w:eastAsia="宋体" w:cs="Times New Roman"/>
                <w:sz w:val="24"/>
                <w:highlight w:val="none"/>
                <w:lang w:val="en-US" w:eastAsia="zh-CN"/>
              </w:rPr>
              <w:t>22</w:t>
            </w:r>
            <w:r>
              <w:rPr>
                <w:rFonts w:hint="eastAsia" w:ascii="Times New Roman" w:hAnsi="Times New Roman" w:eastAsia="宋体" w:cs="Times New Roman"/>
                <w:sz w:val="24"/>
                <w:highlight w:val="none"/>
              </w:rPr>
              <w:t>年</w:t>
            </w:r>
            <w:r>
              <w:rPr>
                <w:rFonts w:hint="eastAsia" w:ascii="Times New Roman" w:hAnsi="Times New Roman" w:eastAsia="宋体" w:cs="Times New Roman"/>
                <w:sz w:val="24"/>
                <w:highlight w:val="none"/>
                <w:lang w:val="en-US" w:eastAsia="zh-CN"/>
              </w:rPr>
              <w:t>1</w:t>
            </w:r>
            <w:r>
              <w:rPr>
                <w:rFonts w:hint="eastAsia" w:ascii="Times New Roman" w:hAnsi="Times New Roman" w:eastAsia="宋体" w:cs="Times New Roman"/>
                <w:sz w:val="24"/>
                <w:highlight w:val="none"/>
              </w:rPr>
              <w:t>月1日起至</w:t>
            </w:r>
            <w:r>
              <w:rPr>
                <w:rFonts w:hint="eastAsia" w:ascii="Times New Roman" w:hAnsi="Times New Roman" w:eastAsia="宋体" w:cs="Times New Roman"/>
                <w:sz w:val="24"/>
              </w:rPr>
              <w:t>投标截止之日止）至少独立承揽过1项</w:t>
            </w:r>
            <w:r>
              <w:rPr>
                <w:rFonts w:hint="eastAsia" w:ascii="Times New Roman" w:hAnsi="Times New Roman" w:eastAsia="宋体" w:cs="Times New Roman"/>
                <w:sz w:val="24"/>
                <w:lang w:val="en-US" w:eastAsia="zh-CN"/>
              </w:rPr>
              <w:t>房建工程检测</w:t>
            </w:r>
            <w:r>
              <w:rPr>
                <w:rFonts w:hint="eastAsia" w:ascii="Times New Roman" w:hAnsi="Times New Roman" w:eastAsia="宋体" w:cs="Times New Roman"/>
                <w:sz w:val="24"/>
              </w:rPr>
              <w:t>业绩</w:t>
            </w:r>
            <w:r>
              <w:rPr>
                <w:rFonts w:hint="eastAsia" w:ascii="Times New Roman" w:hAnsi="Times New Roman" w:eastAsia="宋体" w:cs="Times New Roman"/>
                <w:sz w:val="24"/>
                <w:lang w:eastAsia="zh-CN"/>
              </w:rPr>
              <w:t>。</w:t>
            </w:r>
          </w:p>
        </w:tc>
      </w:tr>
    </w:tbl>
    <w:p w14:paraId="4CF00D7A">
      <w:pPr>
        <w:ind w:firstLine="361" w:firstLineChars="200"/>
        <w:rPr>
          <w:rFonts w:hint="eastAsia" w:ascii="Times New Roman" w:hAnsi="Times New Roman" w:eastAsia="宋体" w:cs="Times New Roman"/>
          <w:b/>
          <w:bCs w:val="0"/>
          <w:sz w:val="18"/>
          <w:szCs w:val="18"/>
        </w:rPr>
      </w:pPr>
    </w:p>
    <w:p w14:paraId="1201CDCE">
      <w:pPr>
        <w:ind w:firstLine="361" w:firstLineChars="200"/>
        <w:rPr>
          <w:rFonts w:hint="eastAsia" w:ascii="Times New Roman" w:hAnsi="Times New Roman" w:eastAsia="宋体" w:cs="Times New Roman"/>
          <w:b/>
          <w:bCs w:val="0"/>
          <w:sz w:val="18"/>
          <w:szCs w:val="18"/>
        </w:rPr>
      </w:pPr>
      <w:r>
        <w:rPr>
          <w:rFonts w:hint="eastAsia" w:ascii="Times New Roman" w:hAnsi="Times New Roman" w:eastAsia="宋体" w:cs="Times New Roman"/>
          <w:b/>
          <w:bCs w:val="0"/>
          <w:sz w:val="18"/>
          <w:szCs w:val="18"/>
        </w:rPr>
        <w:t>注：1.需在响应文件格式表3-2后须附中标通知书（如有）、合同协议书的复印件。</w:t>
      </w:r>
    </w:p>
    <w:p w14:paraId="7F19D788">
      <w:pPr>
        <w:spacing w:line="360" w:lineRule="auto"/>
        <w:rPr>
          <w:rFonts w:hint="eastAsia" w:ascii="Times New Roman" w:hAnsi="Times New Roman" w:eastAsia="宋体" w:cs="Times New Roman"/>
          <w:b/>
          <w:bCs w:val="0"/>
          <w:sz w:val="18"/>
          <w:szCs w:val="18"/>
        </w:rPr>
      </w:pPr>
      <w:r>
        <w:rPr>
          <w:rFonts w:hint="eastAsia" w:ascii="Times New Roman" w:hAnsi="Times New Roman" w:eastAsia="宋体" w:cs="Times New Roman"/>
          <w:b/>
          <w:bCs w:val="0"/>
          <w:sz w:val="18"/>
          <w:szCs w:val="18"/>
          <w:lang w:val="en-US" w:eastAsia="zh-CN"/>
        </w:rPr>
        <w:t xml:space="preserve">        </w:t>
      </w:r>
      <w:r>
        <w:rPr>
          <w:rFonts w:hint="eastAsia" w:ascii="Times New Roman" w:hAnsi="Times New Roman" w:eastAsia="宋体" w:cs="Times New Roman"/>
          <w:b/>
          <w:bCs w:val="0"/>
          <w:sz w:val="18"/>
          <w:szCs w:val="18"/>
        </w:rPr>
        <w:t>2.承揽时间以合同中载明的项目合同签订时间为准，如合同无载明时间和工作内容，需附业主开具的相应内容证明材料。</w:t>
      </w:r>
    </w:p>
    <w:p w14:paraId="566E766A">
      <w:pPr>
        <w:ind w:firstLine="360"/>
        <w:rPr>
          <w:rFonts w:hint="eastAsia" w:ascii="Times New Roman" w:hAnsi="Times New Roman" w:eastAsia="宋体" w:cs="Times New Roman"/>
          <w:bCs/>
          <w:sz w:val="18"/>
          <w:szCs w:val="18"/>
        </w:rPr>
      </w:pPr>
      <w:r>
        <w:rPr>
          <w:rFonts w:hint="eastAsia" w:ascii="Times New Roman" w:hAnsi="Times New Roman" w:eastAsia="宋体" w:cs="Times New Roman"/>
          <w:b/>
          <w:bCs w:val="0"/>
          <w:sz w:val="18"/>
          <w:szCs w:val="18"/>
        </w:rPr>
        <w:t xml:space="preserve">    3.如近年来，供应商法人机构发生合法变更或重组或法人名称变更时，应提供相关部门的合法批件或其他相关证明材料来证明其所附业绩的继承性。</w:t>
      </w:r>
    </w:p>
    <w:p w14:paraId="513C9CD5">
      <w:pPr>
        <w:jc w:val="center"/>
        <w:rPr>
          <w:rFonts w:hint="eastAsia" w:ascii="Times New Roman" w:hAnsi="Times New Roman" w:eastAsia="宋体" w:cs="Times New Roman"/>
          <w:b/>
          <w:sz w:val="24"/>
        </w:rPr>
      </w:pPr>
    </w:p>
    <w:p w14:paraId="2A15FD51">
      <w:pPr>
        <w:widowControl w:val="0"/>
        <w:ind w:firstLine="420" w:firstLineChars="200"/>
        <w:jc w:val="both"/>
        <w:rPr>
          <w:rFonts w:hint="eastAsia" w:ascii="Times New Roman" w:hAnsi="Times New Roman" w:eastAsia="宋体" w:cs="Times New Roman"/>
          <w:kern w:val="2"/>
          <w:sz w:val="21"/>
          <w:szCs w:val="24"/>
          <w:lang w:val="en-US" w:eastAsia="zh-CN" w:bidi="ar-SA"/>
        </w:rPr>
      </w:pPr>
    </w:p>
    <w:p w14:paraId="766E6A45">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附录3  资格审查条件（信誉最低要求）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4"/>
      </w:tblGrid>
      <w:tr w14:paraId="1EBD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64" w:type="dxa"/>
            <w:noWrap w:val="0"/>
            <w:vAlign w:val="center"/>
          </w:tcPr>
          <w:p w14:paraId="604DC87B">
            <w:pPr>
              <w:jc w:val="center"/>
              <w:rPr>
                <w:rFonts w:hint="eastAsia" w:ascii="Times New Roman" w:hAnsi="Times New Roman" w:eastAsia="宋体" w:cs="Times New Roman"/>
                <w:b/>
                <w:sz w:val="24"/>
              </w:rPr>
            </w:pPr>
            <w:r>
              <w:rPr>
                <w:rFonts w:hint="eastAsia" w:ascii="Times New Roman" w:hAnsi="Times New Roman" w:eastAsia="宋体" w:cs="Times New Roman"/>
                <w:b/>
                <w:sz w:val="24"/>
              </w:rPr>
              <w:t>信誉要求</w:t>
            </w:r>
          </w:p>
        </w:tc>
      </w:tr>
      <w:tr w14:paraId="7FD9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9064" w:type="dxa"/>
            <w:noWrap w:val="0"/>
            <w:vAlign w:val="center"/>
          </w:tcPr>
          <w:p w14:paraId="064F6EC7">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Times New Roman" w:hAnsi="Times New Roman" w:eastAsia="宋体" w:cs="Times New Roman"/>
              </w:rPr>
            </w:pPr>
            <w:r>
              <w:rPr>
                <w:rFonts w:hint="eastAsia" w:ascii="Times New Roman" w:hAnsi="Times New Roman" w:eastAsia="宋体" w:cs="Times New Roman"/>
                <w:sz w:val="24"/>
              </w:rPr>
              <w:t>供应商在“中国执行信息公开网”网站（http://zxgk.court.gov.cn/shixin/）中未被列入失信被执行人名单，在国家企业信用信息公示系统（www.gsxt.gov.cn）中未被列入严重违法失信企业名单。</w:t>
            </w:r>
          </w:p>
        </w:tc>
      </w:tr>
    </w:tbl>
    <w:p w14:paraId="5999AF8B">
      <w:pPr>
        <w:ind w:firstLine="452" w:firstLineChars="250"/>
        <w:rPr>
          <w:rFonts w:hint="eastAsia" w:ascii="Times New Roman" w:hAnsi="Times New Roman" w:eastAsia="宋体" w:cs="Times New Roman"/>
          <w:b/>
          <w:bCs w:val="0"/>
          <w:sz w:val="18"/>
          <w:szCs w:val="18"/>
        </w:rPr>
      </w:pPr>
    </w:p>
    <w:p w14:paraId="419C75B2">
      <w:pPr>
        <w:pStyle w:val="4"/>
        <w:keepNext w:val="0"/>
        <w:keepLines w:val="0"/>
        <w:pageBreakBefore w:val="0"/>
        <w:widowControl w:val="0"/>
        <w:kinsoku/>
        <w:wordWrap/>
        <w:overflowPunct/>
        <w:topLinePunct w:val="0"/>
        <w:autoSpaceDE/>
        <w:autoSpaceDN/>
        <w:bidi w:val="0"/>
        <w:adjustRightInd/>
        <w:snapToGrid/>
        <w:ind w:firstLine="361" w:firstLineChars="200"/>
        <w:textAlignment w:val="auto"/>
        <w:rPr>
          <w:rFonts w:hint="default"/>
          <w:b/>
          <w:bCs/>
          <w:lang w:val="en-US" w:eastAsia="zh-CN"/>
        </w:rPr>
      </w:pPr>
      <w:r>
        <w:rPr>
          <w:rFonts w:hint="eastAsia" w:ascii="Times New Roman" w:hAnsi="Times New Roman" w:eastAsia="宋体" w:cs="Times New Roman"/>
          <w:b/>
          <w:bCs w:val="0"/>
          <w:sz w:val="18"/>
          <w:szCs w:val="18"/>
        </w:rPr>
        <w:t>注：需在</w:t>
      </w:r>
      <w:r>
        <w:rPr>
          <w:rFonts w:hint="eastAsia" w:ascii="Times New Roman" w:hAnsi="Times New Roman" w:eastAsia="宋体" w:cs="Times New Roman"/>
          <w:b/>
          <w:bCs w:val="0"/>
          <w:sz w:val="18"/>
          <w:szCs w:val="18"/>
          <w:lang w:val="en-US" w:eastAsia="zh-CN"/>
        </w:rPr>
        <w:t>响应</w:t>
      </w:r>
      <w:r>
        <w:rPr>
          <w:rFonts w:hint="eastAsia" w:ascii="Times New Roman" w:hAnsi="Times New Roman" w:eastAsia="宋体" w:cs="Times New Roman"/>
          <w:b/>
          <w:bCs w:val="0"/>
          <w:sz w:val="18"/>
          <w:szCs w:val="18"/>
        </w:rPr>
        <w:t>文件格式表3-3后附查询截图。</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00C994B8">
      <w:pPr>
        <w:pStyle w:val="6"/>
        <w:spacing w:line="240" w:lineRule="auto"/>
        <w:ind w:firstLine="261"/>
        <w:rPr>
          <w:rFonts w:hint="eastAsia"/>
          <w:szCs w:val="18"/>
        </w:rPr>
      </w:pPr>
      <w:r>
        <w:rPr>
          <w:rStyle w:val="11"/>
          <w:szCs w:val="18"/>
        </w:rPr>
        <w:footnoteRef/>
      </w:r>
      <w:r>
        <w:rPr>
          <w:rFonts w:hint="eastAsia"/>
          <w:szCs w:val="18"/>
        </w:rPr>
        <w:t>单位负责人是指单位的法定代表人或者法律、行政法规规定代表单位行使职权的主要负责人。</w:t>
      </w:r>
    </w:p>
  </w:footnote>
  <w:footnote w:id="1">
    <w:p w14:paraId="00177EBB">
      <w:pPr>
        <w:pStyle w:val="6"/>
        <w:spacing w:line="240" w:lineRule="auto"/>
        <w:ind w:firstLine="261"/>
        <w:rPr>
          <w:rFonts w:hint="eastAsia"/>
          <w:szCs w:val="18"/>
        </w:rPr>
      </w:pPr>
      <w:r>
        <w:rPr>
          <w:rStyle w:val="11"/>
          <w:szCs w:val="18"/>
        </w:rPr>
        <w:footnoteRef/>
      </w:r>
      <w:r>
        <w:rPr>
          <w:rFonts w:hint="eastAsia"/>
          <w:szCs w:val="18"/>
        </w:rPr>
        <w:t>控股是指股份占股份有限公司股本总额的50%以上。</w:t>
      </w:r>
    </w:p>
  </w:footnote>
  <w:footnote w:id="2">
    <w:p w14:paraId="4F41340A">
      <w:pPr>
        <w:pStyle w:val="6"/>
        <w:spacing w:line="240" w:lineRule="auto"/>
        <w:ind w:firstLine="261"/>
        <w:rPr>
          <w:rFonts w:hint="eastAsia"/>
          <w:szCs w:val="18"/>
        </w:rPr>
      </w:pPr>
      <w:r>
        <w:rPr>
          <w:rStyle w:val="11"/>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B650304"/>
    <w:rsid w:val="1C8B35A0"/>
    <w:rsid w:val="1DDA3B27"/>
    <w:rsid w:val="1F6E04B3"/>
    <w:rsid w:val="214C6B85"/>
    <w:rsid w:val="22BB3D2C"/>
    <w:rsid w:val="24F92FA1"/>
    <w:rsid w:val="27F531EF"/>
    <w:rsid w:val="29C4123E"/>
    <w:rsid w:val="2AC1309B"/>
    <w:rsid w:val="3076372D"/>
    <w:rsid w:val="346E2270"/>
    <w:rsid w:val="351A542A"/>
    <w:rsid w:val="357B5ACE"/>
    <w:rsid w:val="37D42F70"/>
    <w:rsid w:val="38592295"/>
    <w:rsid w:val="47B53AE6"/>
    <w:rsid w:val="47EC2099"/>
    <w:rsid w:val="4B515FD6"/>
    <w:rsid w:val="4B6A7489"/>
    <w:rsid w:val="4E866857"/>
    <w:rsid w:val="4F3223B5"/>
    <w:rsid w:val="50460DCD"/>
    <w:rsid w:val="517D31EE"/>
    <w:rsid w:val="57BF2D4E"/>
    <w:rsid w:val="590165CB"/>
    <w:rsid w:val="5E436E71"/>
    <w:rsid w:val="5FD429DB"/>
    <w:rsid w:val="615838CB"/>
    <w:rsid w:val="618F439B"/>
    <w:rsid w:val="62607159"/>
    <w:rsid w:val="63166D1A"/>
    <w:rsid w:val="67C465A9"/>
    <w:rsid w:val="67E660D5"/>
    <w:rsid w:val="69605A13"/>
    <w:rsid w:val="71690822"/>
    <w:rsid w:val="71DC7988"/>
    <w:rsid w:val="762165E0"/>
    <w:rsid w:val="7A92438F"/>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Body Text Indent 2"/>
    <w:basedOn w:val="1"/>
    <w:qFormat/>
    <w:uiPriority w:val="0"/>
    <w:pPr>
      <w:spacing w:after="120" w:line="480" w:lineRule="auto"/>
      <w:ind w:left="420" w:leftChars="200"/>
    </w:p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7">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2108</Words>
  <Characters>2285</Characters>
  <Lines>0</Lines>
  <Paragraphs>0</Paragraphs>
  <TotalTime>3</TotalTime>
  <ScaleCrop>false</ScaleCrop>
  <LinksUpToDate>false</LinksUpToDate>
  <CharactersWithSpaces>2511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2025-01-16T00:23:51Z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FB76852C741849B199299593CA6E6F81_13</vt:lpwstr>
  </property>
  <property fmtid="{D5CDD505-2E9C-101B-9397-08002B2CF9AE}" pid="4" name="KSOTemplateDocerSaveRecord">
    <vt:lpwstr>eyJoZGlkIjoiOTE4Y2EwYmRmZjAzZGNmOGU3YWM0ODUyYjE4ZWE0NTIiLCJ1c2VySWQiOiIzNTQ0Mjc5MzMifQ==</vt:lpwstr>
  </property>
</Properties>
</file>