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29CBD">
      <w:pPr>
        <w:snapToGrid w:val="0"/>
        <w:spacing w:line="360" w:lineRule="auto"/>
        <w:jc w:val="left"/>
        <w:rPr>
          <w:rFonts w:hint="eastAsia" w:ascii="宋体" w:hAnsi="宋体" w:eastAsia="宋体" w:cs="宋体"/>
          <w:b/>
          <w:bCs/>
          <w:color w:val="333333"/>
          <w:sz w:val="24"/>
          <w:szCs w:val="24"/>
          <w:lang w:val="en-US" w:eastAsia="zh-CN"/>
        </w:rPr>
      </w:pPr>
      <w:bookmarkStart w:id="1" w:name="_GoBack"/>
      <w:bookmarkStart w:id="0" w:name="_Hlk111453738"/>
      <w:r>
        <w:rPr>
          <w:rFonts w:hint="eastAsia" w:ascii="宋体" w:hAnsi="宋体" w:eastAsia="宋体" w:cs="宋体"/>
          <w:b/>
          <w:bCs/>
          <w:color w:val="333333"/>
          <w:sz w:val="24"/>
          <w:szCs w:val="24"/>
          <w:lang w:val="en-US" w:eastAsia="zh-CN"/>
        </w:rPr>
        <w:t>附件3：项目需求</w:t>
      </w:r>
      <w:bookmarkEnd w:id="1"/>
    </w:p>
    <w:p w14:paraId="0BDDB554">
      <w:pPr>
        <w:pStyle w:val="3"/>
        <w:rPr>
          <w:rFonts w:hint="eastAsia" w:ascii="宋体" w:hAnsi="宋体" w:eastAsia="宋体" w:cs="宋体"/>
          <w:b/>
          <w:bCs/>
          <w:kern w:val="2"/>
          <w:sz w:val="30"/>
          <w:szCs w:val="20"/>
          <w:highlight w:val="none"/>
          <w:lang w:val="en-US" w:eastAsia="zh-CN" w:bidi="ar-SA"/>
        </w:rPr>
      </w:pPr>
      <w:r>
        <w:rPr>
          <w:rFonts w:hint="eastAsia" w:ascii="宋体" w:hAnsi="宋体" w:eastAsia="宋体" w:cs="宋体"/>
          <w:b/>
          <w:bCs/>
          <w:kern w:val="2"/>
          <w:sz w:val="30"/>
          <w:szCs w:val="20"/>
          <w:highlight w:val="none"/>
          <w:lang w:val="en-US" w:eastAsia="zh-CN" w:bidi="ar-SA"/>
        </w:rPr>
        <w:t>一、项目内容</w:t>
      </w:r>
    </w:p>
    <w:tbl>
      <w:tblPr>
        <w:tblStyle w:val="16"/>
        <w:tblW w:w="445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7"/>
        <w:gridCol w:w="5314"/>
        <w:gridCol w:w="1214"/>
        <w:gridCol w:w="1539"/>
      </w:tblGrid>
      <w:tr w14:paraId="4AA4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B791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5B0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服务内容</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2F2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85E5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rPr>
            </w:pPr>
            <w:r>
              <w:rPr>
                <w:rFonts w:hint="eastAsia" w:ascii="宋体" w:hAnsi="宋体" w:eastAsia="宋体" w:cs="宋体"/>
                <w:b/>
                <w:bCs/>
                <w:i w:val="0"/>
                <w:iCs w:val="0"/>
                <w:color w:val="000000"/>
                <w:sz w:val="21"/>
                <w:szCs w:val="21"/>
                <w:highlight w:val="none"/>
                <w:u w:val="none"/>
                <w:lang w:val="en-US" w:eastAsia="zh-CN"/>
              </w:rPr>
              <w:t>单价最高限价</w:t>
            </w:r>
          </w:p>
        </w:tc>
      </w:tr>
      <w:tr w14:paraId="2E744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29E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CB2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桁架式桥梁检测车（检测平台不小于20米）</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1873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2201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4135 </w:t>
            </w:r>
          </w:p>
        </w:tc>
      </w:tr>
      <w:tr w14:paraId="4162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9B36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D5D7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桁架式桥梁检测车（检测平台小于20米）</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90C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F91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3838 </w:t>
            </w:r>
          </w:p>
        </w:tc>
      </w:tr>
      <w:tr w14:paraId="03E3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CF5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84B4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曲臂式桥梁检测车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C1C6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4C3C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5718 </w:t>
            </w:r>
          </w:p>
        </w:tc>
      </w:tr>
      <w:tr w14:paraId="62866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B558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A2A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高空车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A218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BE0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1375 </w:t>
            </w:r>
          </w:p>
        </w:tc>
      </w:tr>
      <w:tr w14:paraId="79132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A7CA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71E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桁架式桥梁检测车（检测平台不小于20米）</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A62E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元/月</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F996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95427 </w:t>
            </w:r>
          </w:p>
        </w:tc>
      </w:tr>
      <w:tr w14:paraId="27B99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1263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80FB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桁架式桥梁检测车（检测平台小于20米）</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D5F7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元/月</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90D5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85948 </w:t>
            </w:r>
          </w:p>
        </w:tc>
      </w:tr>
      <w:tr w14:paraId="570D5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3730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E2EA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曲臂式桥梁检测车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679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元/月</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23F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129556 </w:t>
            </w:r>
          </w:p>
        </w:tc>
      </w:tr>
      <w:tr w14:paraId="2E4E7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D17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F0B3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高空车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26BA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元/月</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5076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33826 </w:t>
            </w:r>
          </w:p>
        </w:tc>
      </w:tr>
      <w:tr w14:paraId="30D3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8FB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C68E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防撞缓冲车（70-80K）</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AA6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9FD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1304 </w:t>
            </w:r>
          </w:p>
        </w:tc>
      </w:tr>
      <w:tr w14:paraId="0213B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DB9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5A8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防撞缓冲车（100K）</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F11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1A49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1713 </w:t>
            </w:r>
          </w:p>
        </w:tc>
      </w:tr>
      <w:tr w14:paraId="5C7C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456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D87E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交通围蔽（含防撞车70-80K）</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EB44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EC93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4443 </w:t>
            </w:r>
          </w:p>
        </w:tc>
      </w:tr>
      <w:tr w14:paraId="6722B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487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152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交通围蔽（含防撞车100K）</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2F1D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8CA9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4892 </w:t>
            </w:r>
          </w:p>
        </w:tc>
      </w:tr>
      <w:tr w14:paraId="3C36C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5B09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4291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交通围蔽</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733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6036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3176 </w:t>
            </w:r>
          </w:p>
        </w:tc>
      </w:tr>
      <w:tr w14:paraId="13059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FC0B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3B5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交通围蔽（含防撞车70-80K）</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343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元/月</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5E3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104068 </w:t>
            </w:r>
          </w:p>
        </w:tc>
      </w:tr>
      <w:tr w14:paraId="0F3B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1708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A1F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交通围蔽（含防撞车100K）</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1B60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元/月</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E22D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116638 </w:t>
            </w:r>
          </w:p>
        </w:tc>
      </w:tr>
      <w:tr w14:paraId="3BBFA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CEE5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w:t>
            </w:r>
          </w:p>
        </w:tc>
        <w:tc>
          <w:tcPr>
            <w:tcW w:w="30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F18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交通围蔽</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7B17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元/月</w:t>
            </w:r>
          </w:p>
        </w:tc>
        <w:tc>
          <w:tcPr>
            <w:tcW w:w="8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E85E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82510 </w:t>
            </w:r>
          </w:p>
        </w:tc>
      </w:tr>
      <w:tr w14:paraId="090B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7AB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w:t>
            </w:r>
          </w:p>
        </w:tc>
        <w:tc>
          <w:tcPr>
            <w:tcW w:w="5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5AB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皮卡车（带闪灯）</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CAA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元/台班</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8C5F">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1018 </w:t>
            </w:r>
          </w:p>
        </w:tc>
      </w:tr>
      <w:tr w14:paraId="7A8E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D15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w:t>
            </w:r>
          </w:p>
        </w:tc>
        <w:tc>
          <w:tcPr>
            <w:tcW w:w="5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E5E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皮卡车（带闪灯）</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D89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元/月</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022A">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 xml:space="preserve">20536 </w:t>
            </w:r>
          </w:p>
        </w:tc>
      </w:tr>
    </w:tbl>
    <w:p w14:paraId="03151883">
      <w:pPr>
        <w:rPr>
          <w:rFonts w:hint="eastAsia" w:ascii="宋体" w:hAnsi="宋体" w:eastAsia="宋体" w:cs="宋体"/>
          <w:highlight w:val="none"/>
          <w:lang w:val="en-US" w:eastAsia="zh-CN"/>
        </w:rPr>
      </w:pPr>
    </w:p>
    <w:p w14:paraId="572DFC08">
      <w:pPr>
        <w:pStyle w:val="3"/>
        <w:shd w:val="clear" w:fill="auto"/>
        <w:rPr>
          <w:rFonts w:hint="eastAsia" w:ascii="宋体" w:hAnsi="宋体" w:eastAsia="宋体" w:cs="宋体"/>
          <w:b/>
          <w:bCs/>
          <w:kern w:val="2"/>
          <w:sz w:val="30"/>
          <w:szCs w:val="20"/>
          <w:highlight w:val="none"/>
          <w:lang w:val="en-US" w:eastAsia="zh-CN" w:bidi="ar-SA"/>
        </w:rPr>
      </w:pPr>
      <w:r>
        <w:rPr>
          <w:rFonts w:hint="eastAsia" w:ascii="宋体" w:hAnsi="宋体" w:eastAsia="宋体" w:cs="宋体"/>
          <w:b/>
          <w:bCs/>
          <w:kern w:val="2"/>
          <w:sz w:val="30"/>
          <w:szCs w:val="20"/>
          <w:highlight w:val="none"/>
          <w:lang w:val="en-US" w:eastAsia="zh-CN" w:bidi="ar-SA"/>
        </w:rPr>
        <w:t>二、项目要求</w:t>
      </w:r>
    </w:p>
    <w:p w14:paraId="31EA6A5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桥梁检测车作业守则</w:t>
      </w:r>
    </w:p>
    <w:p w14:paraId="4634D2A6">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在高速公路上检测作业时，必须有一台带有明显警示标志的车辆作为防护车辆跟随在检测车作业区后面，并完成以下措施：</w:t>
      </w:r>
    </w:p>
    <w:p w14:paraId="0CB17719">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1、出车前公司管理人员必须对作业人员进行安全交底，并提交安全交底的摄像资料、文件给甲方；驾驶员和操作人员必须熟悉和掌握车辆的性能和操作方法。</w:t>
      </w:r>
    </w:p>
    <w:p w14:paraId="0B487BC4">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2、停车作业前，调整车辆指示灯方向或者开启双闪灯。</w:t>
      </w:r>
    </w:p>
    <w:p w14:paraId="66D310CD">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3、作业人员必须穿上反光衣、戴上安全帽等，做好个人安全防护措施。</w:t>
      </w:r>
    </w:p>
    <w:p w14:paraId="7E766EB2">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桥检车司机及操作手不得在作业期间出现手持手机使用电话等影响安全作业的行为。操作人员必须精神集中，操作手柄时必须平稳，速度切勿骤升骤降，以免导致作业平台惯性过大撞击盖梁或者其他物体；要严厉依照设备规定的技术参数及工作范围工作。工作时，平台每次移动时操作人员务必要留意并提示检测人员要处在安全状态。</w:t>
      </w:r>
    </w:p>
    <w:p w14:paraId="38F3F7FA">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5、液压系统出现问题或者平台不能动时，应设法让作业平台的人员安全撤离，再通知专业维修人员及时处理。</w:t>
      </w:r>
    </w:p>
    <w:p w14:paraId="49356EEF">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车辆停车作业时，必须有以下的安全保障措施（如在高速公路上作业，必须办理高速公路作业许可证件）：</w:t>
      </w:r>
    </w:p>
    <w:p w14:paraId="78F88802">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1、在高速公路上作业时，必须按照高速公路作业规范规定的要求采取相应安全防护措施，在规定的距离范围内设置减速、限速标志，确保检测车的作业安全，同时必须保证桥梁下方检测平台的作业安全。</w:t>
      </w:r>
    </w:p>
    <w:p w14:paraId="5BE0A399">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如桥梁下方为通航航道，必须确保有足够的净空后方可作业，作业时密切关注船只通航情况，提前做好避让。</w:t>
      </w:r>
    </w:p>
    <w:p w14:paraId="47A7D10C">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进行检测平台作业时，必须按照“车辆支撑作业第一、垂直桁架下降第二、水平桁架延伸第三”的作业次序进行工作，如果需要更换作业断面，必须收回水平桁架和垂直桁架，桁架放回到临时停置位置后，升起车辆支撑系统，将车辆停放到新的工作断面位置，再进行新的作业。</w:t>
      </w:r>
    </w:p>
    <w:p w14:paraId="24AAF32C">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3、检测人员在检测平台上作业时，必须确保桁架安全作业。作业时必须有专人负责与平台操作员联络，调度检测人员作业。</w:t>
      </w:r>
    </w:p>
    <w:p w14:paraId="3EC2FD96">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4、检测车辆的驾驶员和检测平台的操作员不能兼任，不能互相交换作业。</w:t>
      </w:r>
    </w:p>
    <w:p w14:paraId="46587FEA">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5、在高压电线影响范围内严禁任何作业，如应特殊交通条件需进行夜间作业，应按相关规范要求做好防护措施，以确保作业安全。</w:t>
      </w:r>
    </w:p>
    <w:p w14:paraId="01A30DA4">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6、暴雨、台风以及路面有长时间浓雾时，严禁桥检车作业，如作业中出现恶劣天气，宜根据天气情况视是否停止作业。</w:t>
      </w:r>
    </w:p>
    <w:p w14:paraId="41005766">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必须提供车况良好、证件齐全的桥检车，同时应满足现场检测条件的要求。</w:t>
      </w:r>
    </w:p>
    <w:p w14:paraId="18710B6B">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检测车辆在检测期间必须按</w:t>
      </w:r>
      <w:r>
        <w:rPr>
          <w:rFonts w:hint="eastAsia" w:ascii="宋体" w:hAnsi="宋体" w:eastAsia="宋体" w:cs="宋体"/>
          <w:sz w:val="24"/>
          <w:szCs w:val="24"/>
          <w:highlight w:val="none"/>
          <w:lang w:eastAsia="zh-CN"/>
        </w:rPr>
        <w:t>广州诚安路桥</w:t>
      </w:r>
      <w:r>
        <w:rPr>
          <w:rFonts w:hint="eastAsia" w:ascii="宋体" w:hAnsi="宋体" w:eastAsia="宋体" w:cs="宋体"/>
          <w:sz w:val="24"/>
          <w:szCs w:val="24"/>
          <w:highlight w:val="none"/>
        </w:rPr>
        <w:t>检测有限公司的安全管理要求进行车辆（含检测平台等可能会存在安全隐患的部位）的定期检查、定期保养，并定期提交检查及保养资料。在非作业期间检查车辆必须停放在安全的地方，未经</w:t>
      </w:r>
      <w:r>
        <w:rPr>
          <w:rFonts w:hint="eastAsia" w:ascii="宋体" w:hAnsi="宋体" w:eastAsia="宋体" w:cs="宋体"/>
          <w:sz w:val="24"/>
          <w:szCs w:val="24"/>
          <w:highlight w:val="none"/>
          <w:lang w:eastAsia="zh-CN"/>
        </w:rPr>
        <w:t>广州诚安路桥</w:t>
      </w:r>
      <w:r>
        <w:rPr>
          <w:rFonts w:hint="eastAsia" w:ascii="宋体" w:hAnsi="宋体" w:eastAsia="宋体" w:cs="宋体"/>
          <w:sz w:val="24"/>
          <w:szCs w:val="24"/>
          <w:highlight w:val="none"/>
        </w:rPr>
        <w:t>检测有限公司同意，任何人不能进行任何作业。</w:t>
      </w:r>
    </w:p>
    <w:p w14:paraId="6976A366">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p>
    <w:p w14:paraId="3D4DFEBA">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p>
    <w:p w14:paraId="17FBA3FB">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p>
    <w:p w14:paraId="7A7E6DB7">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p>
    <w:p w14:paraId="4759866E">
      <w:pPr>
        <w:jc w:val="center"/>
        <w:rPr>
          <w:rFonts w:hint="eastAsia" w:ascii="宋体" w:hAnsi="宋体" w:eastAsia="宋体" w:cs="宋体"/>
          <w:b/>
          <w:bCs/>
          <w:sz w:val="28"/>
          <w:szCs w:val="28"/>
          <w:highlight w:val="none"/>
        </w:rPr>
      </w:pPr>
      <w:r>
        <w:rPr>
          <w:rFonts w:hint="eastAsia" w:ascii="宋体" w:hAnsi="宋体" w:eastAsia="宋体" w:cs="宋体"/>
          <w:sz w:val="24"/>
          <w:szCs w:val="24"/>
          <w:highlight w:val="none"/>
        </w:rPr>
        <w:br w:type="page"/>
      </w:r>
      <w:r>
        <w:rPr>
          <w:rFonts w:hint="eastAsia" w:ascii="宋体" w:hAnsi="宋体" w:eastAsia="宋体" w:cs="宋体"/>
          <w:b/>
          <w:bCs/>
          <w:sz w:val="28"/>
          <w:szCs w:val="28"/>
          <w:highlight w:val="none"/>
        </w:rPr>
        <w:t>防撞缓冲车作业守则</w:t>
      </w:r>
    </w:p>
    <w:p w14:paraId="4F58C5A3">
      <w:pPr>
        <w:pStyle w:val="33"/>
        <w:tabs>
          <w:tab w:val="left" w:pos="2010"/>
        </w:tabs>
        <w:spacing w:line="276" w:lineRule="auto"/>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一、车辆介绍：</w:t>
      </w:r>
    </w:p>
    <w:p w14:paraId="6AA9753E">
      <w:pPr>
        <w:keepNext w:val="0"/>
        <w:keepLines w:val="0"/>
        <w:pageBreakBefore w:val="0"/>
        <w:widowControl w:val="0"/>
        <w:tabs>
          <w:tab w:val="left" w:pos="2010"/>
        </w:tabs>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防撞缓冲车是一种新型的车厢尾部加装防撞缓冲垫、吸能模块，撞击过程中变形吸收冲击能量，保护公路施工、作业人员及设备专项安全防护用车，目前主要的规格分为2000kg-70km/h与2000kg-100km/h两种。</w:t>
      </w:r>
    </w:p>
    <w:p w14:paraId="5D716E0C">
      <w:pPr>
        <w:pStyle w:val="33"/>
        <w:tabs>
          <w:tab w:val="left" w:pos="2010"/>
        </w:tabs>
        <w:spacing w:line="276" w:lineRule="auto"/>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二、作业程序：</w:t>
      </w:r>
    </w:p>
    <w:p w14:paraId="45D4AB7B">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高速公路上施工、检测作业时，防撞缓冲车作为防护车辆，必须紧跟施工/检测车辆后方并保持150米车距，并放下缓冲垫，打开声光报警装置，警示正常通行车辆。</w:t>
      </w:r>
    </w:p>
    <w:p w14:paraId="399351BB">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操作步骤：（重点提醒：防撞缓冲车工作时严禁车辆载物，司机严禁睡觉/玩手机）</w:t>
      </w:r>
    </w:p>
    <w:p w14:paraId="0E931ECD">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参加项目管理人员安全教育培训及安全交底。</w:t>
      </w:r>
    </w:p>
    <w:p w14:paraId="361644A2">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驾驶员或操作员学习防撞缓冲车操作性能并熟练掌握。</w:t>
      </w:r>
    </w:p>
    <w:p w14:paraId="42ED2F3B">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驾驶员或操作员穿上反光衣、戴上安全帽等，做好个人安全防护措施。</w:t>
      </w:r>
    </w:p>
    <w:p w14:paraId="0C174A8B">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出车前专职司机对车辆油路/气路/电路/刹车系统/防撞系统/可视系统进行性能检查，确保车况良好，准予上路。</w:t>
      </w:r>
    </w:p>
    <w:p w14:paraId="5F5F48FA">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防撞缓冲车到达施工区域，放下缓冲垫，打开声光报警装置。</w:t>
      </w:r>
    </w:p>
    <w:p w14:paraId="2242CC79">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根据安全防护现场调整防撞缓冲车后方指示灯方向。</w:t>
      </w:r>
    </w:p>
    <w:p w14:paraId="67787B98">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移动</w:t>
      </w:r>
      <w:r>
        <w:rPr>
          <w:rFonts w:hint="eastAsia" w:ascii="宋体" w:hAnsi="宋体" w:eastAsia="宋体" w:cs="宋体"/>
          <w:sz w:val="24"/>
          <w:szCs w:val="24"/>
          <w:highlight w:val="none"/>
        </w:rPr>
        <w:t>作业紧跟施工/检测车辆后方150M处，保护人/车安全。</w:t>
      </w:r>
    </w:p>
    <w:p w14:paraId="216E523B">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固定作业停靠封闭区域施工/检测车辆后方150M处，保护人/车安全。</w:t>
      </w:r>
    </w:p>
    <w:p w14:paraId="094B2F20">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作业过程中通过可视系统/反光装置观察周围状况，发现异常立即通知施工/检测人员撤离到安全地带。</w:t>
      </w:r>
    </w:p>
    <w:p w14:paraId="2A27560C">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具体操作示意如图：</w:t>
      </w:r>
    </w:p>
    <w:p w14:paraId="33A438C4">
      <w:pPr>
        <w:pStyle w:val="3"/>
        <w:rPr>
          <w:rFonts w:hint="eastAsia" w:ascii="宋体" w:hAnsi="宋体" w:eastAsia="宋体" w:cs="宋体"/>
          <w:sz w:val="24"/>
          <w:szCs w:val="24"/>
          <w:highlight w:val="none"/>
        </w:rPr>
      </w:pPr>
      <w:r>
        <w:rPr>
          <w:rFonts w:hint="eastAsia" w:ascii="宋体" w:hAnsi="宋体" w:eastAsia="宋体" w:cs="宋体"/>
          <w:sz w:val="24"/>
          <w:szCs w:val="24"/>
          <w:highlight w:val="none"/>
        </w:rPr>
        <w:drawing>
          <wp:anchor distT="0" distB="0" distL="0" distR="0" simplePos="0" relativeHeight="251659264" behindDoc="1" locked="0" layoutInCell="1" allowOverlap="1">
            <wp:simplePos x="0" y="0"/>
            <wp:positionH relativeFrom="column">
              <wp:posOffset>1442085</wp:posOffset>
            </wp:positionH>
            <wp:positionV relativeFrom="paragraph">
              <wp:posOffset>82550</wp:posOffset>
            </wp:positionV>
            <wp:extent cx="2915285" cy="1925955"/>
            <wp:effectExtent l="0" t="0" r="18415" b="17145"/>
            <wp:wrapTight wrapText="bothSides">
              <wp:wrapPolygon>
                <wp:start x="0" y="0"/>
                <wp:lineTo x="0" y="21365"/>
                <wp:lineTo x="21454" y="21365"/>
                <wp:lineTo x="21454" y="0"/>
                <wp:lineTo x="0" y="0"/>
              </wp:wrapPolygon>
            </wp:wrapTight>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2915285" cy="1925955"/>
                    </a:xfrm>
                    <a:prstGeom prst="rect">
                      <a:avLst/>
                    </a:prstGeom>
                    <a:noFill/>
                    <a:ln>
                      <a:noFill/>
                    </a:ln>
                  </pic:spPr>
                </pic:pic>
              </a:graphicData>
            </a:graphic>
          </wp:anchor>
        </w:drawing>
      </w:r>
    </w:p>
    <w:p w14:paraId="036F4E22">
      <w:pPr>
        <w:rPr>
          <w:rFonts w:hint="eastAsia" w:ascii="宋体" w:hAnsi="宋体" w:eastAsia="宋体" w:cs="宋体"/>
          <w:sz w:val="24"/>
          <w:szCs w:val="24"/>
          <w:highlight w:val="none"/>
        </w:rPr>
      </w:pPr>
    </w:p>
    <w:p w14:paraId="3E341C38">
      <w:pPr>
        <w:pStyle w:val="3"/>
        <w:rPr>
          <w:rFonts w:hint="eastAsia" w:ascii="宋体" w:hAnsi="宋体" w:eastAsia="宋体" w:cs="宋体"/>
          <w:sz w:val="24"/>
          <w:szCs w:val="24"/>
          <w:highlight w:val="none"/>
        </w:rPr>
      </w:pPr>
    </w:p>
    <w:p w14:paraId="0AD59D1C">
      <w:pPr>
        <w:pStyle w:val="3"/>
        <w:spacing w:after="240" w:line="276" w:lineRule="auto"/>
        <w:ind w:left="955"/>
        <w:jc w:val="center"/>
        <w:rPr>
          <w:rFonts w:hint="eastAsia" w:ascii="宋体" w:hAnsi="宋体" w:eastAsia="宋体" w:cs="宋体"/>
          <w:sz w:val="24"/>
          <w:szCs w:val="24"/>
          <w:highlight w:val="none"/>
        </w:rPr>
      </w:pPr>
    </w:p>
    <w:p w14:paraId="6330F5FD">
      <w:pPr>
        <w:pStyle w:val="3"/>
        <w:spacing w:after="240" w:line="276" w:lineRule="auto"/>
        <w:ind w:left="955"/>
        <w:jc w:val="center"/>
        <w:rPr>
          <w:rFonts w:hint="eastAsia" w:ascii="宋体" w:hAnsi="宋体" w:eastAsia="宋体" w:cs="宋体"/>
          <w:sz w:val="24"/>
          <w:szCs w:val="24"/>
          <w:highlight w:val="none"/>
        </w:rPr>
      </w:pPr>
    </w:p>
    <w:p w14:paraId="18B585D5">
      <w:pPr>
        <w:pStyle w:val="3"/>
        <w:spacing w:after="240" w:line="276" w:lineRule="auto"/>
        <w:ind w:left="955"/>
        <w:jc w:val="center"/>
        <w:rPr>
          <w:rFonts w:hint="eastAsia" w:ascii="宋体" w:hAnsi="宋体" w:eastAsia="宋体" w:cs="宋体"/>
          <w:sz w:val="24"/>
          <w:szCs w:val="24"/>
          <w:highlight w:val="none"/>
        </w:rPr>
      </w:pPr>
    </w:p>
    <w:p w14:paraId="2C85F597">
      <w:pPr>
        <w:pStyle w:val="3"/>
        <w:spacing w:after="240" w:line="276" w:lineRule="auto"/>
        <w:ind w:left="955"/>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（开闪烁灯前照片）</w:t>
      </w:r>
    </w:p>
    <w:p w14:paraId="12DB5CE0">
      <w:pPr>
        <w:pStyle w:val="3"/>
        <w:spacing w:after="240" w:line="276" w:lineRule="auto"/>
        <w:ind w:left="955"/>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3533775" cy="3771265"/>
            <wp:effectExtent l="0" t="0" r="9525" b="6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7"/>
                    <a:stretch>
                      <a:fillRect/>
                    </a:stretch>
                  </pic:blipFill>
                  <pic:spPr>
                    <a:xfrm>
                      <a:off x="0" y="0"/>
                      <a:ext cx="3533775" cy="3771265"/>
                    </a:xfrm>
                    <a:prstGeom prst="rect">
                      <a:avLst/>
                    </a:prstGeom>
                    <a:noFill/>
                    <a:ln>
                      <a:noFill/>
                    </a:ln>
                  </pic:spPr>
                </pic:pic>
              </a:graphicData>
            </a:graphic>
          </wp:inline>
        </w:drawing>
      </w:r>
    </w:p>
    <w:p w14:paraId="491C1B41">
      <w:pPr>
        <w:pStyle w:val="3"/>
        <w:spacing w:after="240" w:line="276" w:lineRule="auto"/>
        <w:ind w:left="955"/>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（开启禁止通行闪烁灯后照片）</w:t>
      </w:r>
    </w:p>
    <w:p w14:paraId="02BFF800">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驾驶或操作员必须精神集中，操作时：“低档起步；缓速前行；降速降档；警示方向；停车刹车”安全操作。</w:t>
      </w:r>
    </w:p>
    <w:p w14:paraId="73637722">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施工/检测车行缓冲车随行；缓冲车倒施工/检测车随倒防护模式。</w:t>
      </w:r>
    </w:p>
    <w:p w14:paraId="30D01305">
      <w:pPr>
        <w:numPr>
          <w:ilvl w:val="0"/>
          <w:numId w:val="1"/>
        </w:num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施工区域所有人/车撤离，收工收车，收缓冲垫，关声光报警装置。</w:t>
      </w:r>
    </w:p>
    <w:p w14:paraId="103B7E1C">
      <w:pPr>
        <w:pStyle w:val="33"/>
        <w:tabs>
          <w:tab w:val="left" w:pos="2010"/>
        </w:tabs>
        <w:spacing w:line="276" w:lineRule="auto"/>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三、注意事项：</w:t>
      </w:r>
    </w:p>
    <w:p w14:paraId="6F0D9AF8">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1、严禁三无车辆上路。</w:t>
      </w:r>
    </w:p>
    <w:p w14:paraId="0B55BF4E">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2、严禁无防撞系统继续作业。</w:t>
      </w:r>
    </w:p>
    <w:p w14:paraId="14428816">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3、严禁防撞缓冲车工作中载物。</w:t>
      </w:r>
    </w:p>
    <w:p w14:paraId="428D40DF">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4、严禁防撞缓冲车工作中后方及车厢站人。</w:t>
      </w:r>
    </w:p>
    <w:p w14:paraId="1A0F3B21">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5、严禁防撞缓冲车停封闭区域外。</w:t>
      </w:r>
    </w:p>
    <w:p w14:paraId="66771DDF">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6、严禁驾驶或操作员工作中接打电话、玩手机。</w:t>
      </w:r>
    </w:p>
    <w:p w14:paraId="7809807A">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7、严禁驾驶或操作员在驾驶室睡觉。</w:t>
      </w:r>
    </w:p>
    <w:p w14:paraId="7B12260A">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8、严禁防撞缓冲车停/行至施工/检测车辆前方。</w:t>
      </w:r>
    </w:p>
    <w:p w14:paraId="0C061D54">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9、严禁未收防撞垫高速行驶。</w:t>
      </w:r>
    </w:p>
    <w:p w14:paraId="264CBCD5">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10、严禁防撞缓冲车提前撤场。</w:t>
      </w:r>
    </w:p>
    <w:p w14:paraId="6F78B436">
      <w:pPr>
        <w:tabs>
          <w:tab w:val="left" w:pos="2010"/>
        </w:tabs>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11、严禁违规/违章操作。</w:t>
      </w:r>
    </w:p>
    <w:p w14:paraId="5C089145">
      <w:pPr>
        <w:pStyle w:val="33"/>
        <w:tabs>
          <w:tab w:val="left" w:pos="2010"/>
        </w:tabs>
        <w:spacing w:line="276" w:lineRule="auto"/>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四、其它说明：</w:t>
      </w:r>
    </w:p>
    <w:p w14:paraId="5BA30A57">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防撞缓冲车辆在检测期间必须按</w:t>
      </w:r>
      <w:r>
        <w:rPr>
          <w:rFonts w:hint="eastAsia" w:ascii="宋体" w:hAnsi="宋体" w:eastAsia="宋体" w:cs="宋体"/>
          <w:sz w:val="24"/>
          <w:szCs w:val="24"/>
          <w:highlight w:val="none"/>
          <w:lang w:eastAsia="zh-CN"/>
        </w:rPr>
        <w:t>广州诚安路桥</w:t>
      </w:r>
      <w:r>
        <w:rPr>
          <w:rFonts w:hint="eastAsia" w:ascii="宋体" w:hAnsi="宋体" w:eastAsia="宋体" w:cs="宋体"/>
          <w:sz w:val="24"/>
          <w:szCs w:val="24"/>
          <w:highlight w:val="none"/>
        </w:rPr>
        <w:t>检测有限公司的安全管理要求进行车辆（含可能会存在安全隐患的部位）的定期检查、定期保养，并定期提交检查及保养资料。在非作业期间检查车辆必须停放在安全的地方，未经</w:t>
      </w:r>
      <w:r>
        <w:rPr>
          <w:rFonts w:hint="eastAsia" w:ascii="宋体" w:hAnsi="宋体" w:eastAsia="宋体" w:cs="宋体"/>
          <w:sz w:val="24"/>
          <w:szCs w:val="24"/>
          <w:highlight w:val="none"/>
          <w:lang w:eastAsia="zh-CN"/>
        </w:rPr>
        <w:t>广州诚安路桥</w:t>
      </w:r>
      <w:r>
        <w:rPr>
          <w:rFonts w:hint="eastAsia" w:ascii="宋体" w:hAnsi="宋体" w:eastAsia="宋体" w:cs="宋体"/>
          <w:sz w:val="24"/>
          <w:szCs w:val="24"/>
          <w:highlight w:val="none"/>
        </w:rPr>
        <w:t>检测有限公司同意，任何人不能进行任何作业。</w:t>
      </w:r>
    </w:p>
    <w:p w14:paraId="0AF03ABF">
      <w:pPr>
        <w:pStyle w:val="9"/>
        <w:jc w:val="center"/>
        <w:rPr>
          <w:rFonts w:hint="eastAsia" w:ascii="宋体" w:hAnsi="宋体" w:eastAsia="宋体" w:cs="宋体"/>
          <w:highlight w:val="none"/>
          <w:lang w:eastAsia="zh-CN"/>
        </w:rPr>
      </w:pPr>
      <w:r>
        <w:rPr>
          <w:rFonts w:hint="eastAsia" w:ascii="宋体" w:hAnsi="宋体" w:eastAsia="宋体" w:cs="宋体"/>
          <w:b/>
          <w:bCs/>
          <w:sz w:val="28"/>
          <w:szCs w:val="28"/>
          <w:highlight w:val="none"/>
          <w:lang w:eastAsia="zh-CN"/>
        </w:rPr>
        <w:t>占道施工作业标准</w:t>
      </w:r>
    </w:p>
    <w:p w14:paraId="32EB757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供应商占道施工作业应严格按照《道路交通标志和标线第4部分：作业区》（GB 5768.4-2017）、《公路养护安全作业规程》（JTG H30--2015)、《广州诚安路桥检测有限公司安全生产标准化管理手册（第七版）（第一次修订）》、《广州市交通投资集团养护作业标准化指南》、《广州诚安路桥检测有限公司协作单位管理制度》、《广州市交通运输局关于印发占道施工标识设置工作指引（2023版）的通知》相关要求执行。</w:t>
      </w:r>
      <w:bookmarkEnd w:id="0"/>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4491017"/>
      <w:docPartObj>
        <w:docPartGallery w:val="autotext"/>
      </w:docPartObj>
    </w:sdtPr>
    <w:sdtContent>
      <w:p w14:paraId="249B3241">
        <w:pPr>
          <w:pStyle w:val="11"/>
          <w:jc w:val="center"/>
        </w:pPr>
        <w:r>
          <w:fldChar w:fldCharType="begin"/>
        </w:r>
        <w:r>
          <w:instrText xml:space="preserve">PAGE   \* MERGEFORMAT</w:instrText>
        </w:r>
        <w:r>
          <w:fldChar w:fldCharType="separate"/>
        </w:r>
        <w:r>
          <w:rPr>
            <w:lang w:val="zh-CN"/>
          </w:rPr>
          <w:t>2</w:t>
        </w:r>
        <w:r>
          <w:fldChar w:fldCharType="end"/>
        </w:r>
      </w:p>
    </w:sdtContent>
  </w:sdt>
  <w:p w14:paraId="0887EE4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1AC43">
    <w:pPr>
      <w:pStyle w:val="12"/>
      <w:pBdr>
        <w:bottom w:val="none" w:color="auto" w:sz="0" w:space="1"/>
      </w:pBdr>
      <w:jc w:val="left"/>
    </w:pP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EE23C7"/>
    <w:multiLevelType w:val="singleLevel"/>
    <w:tmpl w:val="2CEE23C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3ZTk3YWM0OTg2MzQ3NTY3MTZkZTA4ZjhhOTBjNDgifQ=="/>
  </w:docVars>
  <w:rsids>
    <w:rsidRoot w:val="5C2879D5"/>
    <w:rsid w:val="00007326"/>
    <w:rsid w:val="0003424B"/>
    <w:rsid w:val="00037BA8"/>
    <w:rsid w:val="00081AAF"/>
    <w:rsid w:val="000C249A"/>
    <w:rsid w:val="000E30B9"/>
    <w:rsid w:val="00104FB8"/>
    <w:rsid w:val="001420A0"/>
    <w:rsid w:val="0015221A"/>
    <w:rsid w:val="00157950"/>
    <w:rsid w:val="001619F9"/>
    <w:rsid w:val="001C5D02"/>
    <w:rsid w:val="00255518"/>
    <w:rsid w:val="00255A79"/>
    <w:rsid w:val="0026453D"/>
    <w:rsid w:val="00286D5E"/>
    <w:rsid w:val="00295A2F"/>
    <w:rsid w:val="002B639F"/>
    <w:rsid w:val="002F0A9F"/>
    <w:rsid w:val="00337756"/>
    <w:rsid w:val="00345AFD"/>
    <w:rsid w:val="00355304"/>
    <w:rsid w:val="00400414"/>
    <w:rsid w:val="00432848"/>
    <w:rsid w:val="004463F1"/>
    <w:rsid w:val="0046361C"/>
    <w:rsid w:val="004C3E11"/>
    <w:rsid w:val="0055563C"/>
    <w:rsid w:val="00591092"/>
    <w:rsid w:val="005911BE"/>
    <w:rsid w:val="006066EE"/>
    <w:rsid w:val="00623063"/>
    <w:rsid w:val="00652023"/>
    <w:rsid w:val="00683FCA"/>
    <w:rsid w:val="006E5C9A"/>
    <w:rsid w:val="0071008F"/>
    <w:rsid w:val="007446C0"/>
    <w:rsid w:val="00753564"/>
    <w:rsid w:val="0079508A"/>
    <w:rsid w:val="007978FA"/>
    <w:rsid w:val="007A4F53"/>
    <w:rsid w:val="007D438C"/>
    <w:rsid w:val="008224B6"/>
    <w:rsid w:val="00825A6C"/>
    <w:rsid w:val="00830458"/>
    <w:rsid w:val="00856B09"/>
    <w:rsid w:val="008915D8"/>
    <w:rsid w:val="008A44E4"/>
    <w:rsid w:val="008D1F87"/>
    <w:rsid w:val="008F3036"/>
    <w:rsid w:val="009021C7"/>
    <w:rsid w:val="009076AB"/>
    <w:rsid w:val="00925769"/>
    <w:rsid w:val="009357F2"/>
    <w:rsid w:val="00960467"/>
    <w:rsid w:val="009D1D20"/>
    <w:rsid w:val="009D5D43"/>
    <w:rsid w:val="00A026E6"/>
    <w:rsid w:val="00A136A2"/>
    <w:rsid w:val="00A36FD0"/>
    <w:rsid w:val="00A645D7"/>
    <w:rsid w:val="00AB0E44"/>
    <w:rsid w:val="00AD2DCF"/>
    <w:rsid w:val="00AE20E3"/>
    <w:rsid w:val="00AE76CF"/>
    <w:rsid w:val="00B53606"/>
    <w:rsid w:val="00B629CE"/>
    <w:rsid w:val="00B651A5"/>
    <w:rsid w:val="00B72242"/>
    <w:rsid w:val="00B77252"/>
    <w:rsid w:val="00B9154C"/>
    <w:rsid w:val="00C12FBC"/>
    <w:rsid w:val="00C4583D"/>
    <w:rsid w:val="00C73F9B"/>
    <w:rsid w:val="00C80E0E"/>
    <w:rsid w:val="00C820F8"/>
    <w:rsid w:val="00C874A6"/>
    <w:rsid w:val="00CA6AAB"/>
    <w:rsid w:val="00CB4E79"/>
    <w:rsid w:val="00D00BAA"/>
    <w:rsid w:val="00D21445"/>
    <w:rsid w:val="00D621F2"/>
    <w:rsid w:val="00D773D1"/>
    <w:rsid w:val="00D80F2E"/>
    <w:rsid w:val="00DA56A0"/>
    <w:rsid w:val="00DF5277"/>
    <w:rsid w:val="00DF797C"/>
    <w:rsid w:val="00E108A7"/>
    <w:rsid w:val="00E47042"/>
    <w:rsid w:val="00EA24F8"/>
    <w:rsid w:val="00EC19FD"/>
    <w:rsid w:val="00EC1EC4"/>
    <w:rsid w:val="00EC1F0E"/>
    <w:rsid w:val="00ED6642"/>
    <w:rsid w:val="00F61D0B"/>
    <w:rsid w:val="00F854B2"/>
    <w:rsid w:val="00FA7D3A"/>
    <w:rsid w:val="00FC6674"/>
    <w:rsid w:val="00FD7B7C"/>
    <w:rsid w:val="0141588B"/>
    <w:rsid w:val="01E776AE"/>
    <w:rsid w:val="021467DB"/>
    <w:rsid w:val="02FC6355"/>
    <w:rsid w:val="04215461"/>
    <w:rsid w:val="04B37DA4"/>
    <w:rsid w:val="05982F1D"/>
    <w:rsid w:val="0A8E365F"/>
    <w:rsid w:val="0B042E00"/>
    <w:rsid w:val="0B0C4420"/>
    <w:rsid w:val="0C4534C7"/>
    <w:rsid w:val="0D4E726C"/>
    <w:rsid w:val="0D7C0506"/>
    <w:rsid w:val="0D9F0A1E"/>
    <w:rsid w:val="0DCF0020"/>
    <w:rsid w:val="0E254DAD"/>
    <w:rsid w:val="0ED00D7B"/>
    <w:rsid w:val="0EF867DF"/>
    <w:rsid w:val="0F124B87"/>
    <w:rsid w:val="10100F06"/>
    <w:rsid w:val="10A9199B"/>
    <w:rsid w:val="115F2840"/>
    <w:rsid w:val="12D47AC8"/>
    <w:rsid w:val="14060891"/>
    <w:rsid w:val="144423B1"/>
    <w:rsid w:val="167A3002"/>
    <w:rsid w:val="182F35AB"/>
    <w:rsid w:val="18D34686"/>
    <w:rsid w:val="19443AF1"/>
    <w:rsid w:val="19A85F8E"/>
    <w:rsid w:val="19F63627"/>
    <w:rsid w:val="1A415745"/>
    <w:rsid w:val="1BA252C2"/>
    <w:rsid w:val="1BA819BA"/>
    <w:rsid w:val="1C5364AE"/>
    <w:rsid w:val="1CB31D94"/>
    <w:rsid w:val="221E7789"/>
    <w:rsid w:val="227948DB"/>
    <w:rsid w:val="238F739C"/>
    <w:rsid w:val="23DD4609"/>
    <w:rsid w:val="240138EA"/>
    <w:rsid w:val="2409031A"/>
    <w:rsid w:val="24B22AAA"/>
    <w:rsid w:val="26881B2A"/>
    <w:rsid w:val="26902369"/>
    <w:rsid w:val="279C5AFD"/>
    <w:rsid w:val="2B3E7CC3"/>
    <w:rsid w:val="2C82036D"/>
    <w:rsid w:val="2CF66D06"/>
    <w:rsid w:val="2CF86F1C"/>
    <w:rsid w:val="2DA96076"/>
    <w:rsid w:val="30464E78"/>
    <w:rsid w:val="33D05E16"/>
    <w:rsid w:val="3439473C"/>
    <w:rsid w:val="35A87042"/>
    <w:rsid w:val="36783C2C"/>
    <w:rsid w:val="36975CCA"/>
    <w:rsid w:val="36EB2FEA"/>
    <w:rsid w:val="3702286B"/>
    <w:rsid w:val="38141215"/>
    <w:rsid w:val="39894C79"/>
    <w:rsid w:val="3A4E0707"/>
    <w:rsid w:val="3A765820"/>
    <w:rsid w:val="3AC53CA3"/>
    <w:rsid w:val="3B9C5ACB"/>
    <w:rsid w:val="3D3114F1"/>
    <w:rsid w:val="3DB72FC9"/>
    <w:rsid w:val="3FBC6EAF"/>
    <w:rsid w:val="3FFB2686"/>
    <w:rsid w:val="40A14D65"/>
    <w:rsid w:val="443638AA"/>
    <w:rsid w:val="445D1683"/>
    <w:rsid w:val="44CD5731"/>
    <w:rsid w:val="44EC1D9B"/>
    <w:rsid w:val="45184A87"/>
    <w:rsid w:val="4523074F"/>
    <w:rsid w:val="45D93CF8"/>
    <w:rsid w:val="46B41679"/>
    <w:rsid w:val="46EC4E76"/>
    <w:rsid w:val="474E4E09"/>
    <w:rsid w:val="47D35F82"/>
    <w:rsid w:val="49CA7457"/>
    <w:rsid w:val="4B4C2876"/>
    <w:rsid w:val="4BAC6333"/>
    <w:rsid w:val="4C87311D"/>
    <w:rsid w:val="4E1A59EE"/>
    <w:rsid w:val="4E4361B3"/>
    <w:rsid w:val="4EDA586A"/>
    <w:rsid w:val="4EDE091A"/>
    <w:rsid w:val="4FC04E62"/>
    <w:rsid w:val="505026F1"/>
    <w:rsid w:val="51597A9B"/>
    <w:rsid w:val="52D87E10"/>
    <w:rsid w:val="55D80CB7"/>
    <w:rsid w:val="5646336C"/>
    <w:rsid w:val="5687503D"/>
    <w:rsid w:val="58CC751A"/>
    <w:rsid w:val="5B603C7F"/>
    <w:rsid w:val="5C2879D5"/>
    <w:rsid w:val="5C9B3576"/>
    <w:rsid w:val="5D2A28EC"/>
    <w:rsid w:val="5D801568"/>
    <w:rsid w:val="5DD60701"/>
    <w:rsid w:val="5E9C3F1D"/>
    <w:rsid w:val="5FD2348A"/>
    <w:rsid w:val="622D4CA7"/>
    <w:rsid w:val="630E6B1B"/>
    <w:rsid w:val="64424E98"/>
    <w:rsid w:val="653B1E64"/>
    <w:rsid w:val="653D0B9F"/>
    <w:rsid w:val="6581702C"/>
    <w:rsid w:val="66EE2E85"/>
    <w:rsid w:val="67687AE2"/>
    <w:rsid w:val="679A31FF"/>
    <w:rsid w:val="67B4296E"/>
    <w:rsid w:val="689B6077"/>
    <w:rsid w:val="68C90870"/>
    <w:rsid w:val="6AE575F3"/>
    <w:rsid w:val="6C4B1E65"/>
    <w:rsid w:val="6C973375"/>
    <w:rsid w:val="6FBE3493"/>
    <w:rsid w:val="70C06DA5"/>
    <w:rsid w:val="73470105"/>
    <w:rsid w:val="74552807"/>
    <w:rsid w:val="776E013D"/>
    <w:rsid w:val="78105AA2"/>
    <w:rsid w:val="79845A02"/>
    <w:rsid w:val="79CE1733"/>
    <w:rsid w:val="79ED3DA3"/>
    <w:rsid w:val="7A1C4F10"/>
    <w:rsid w:val="7B3B290A"/>
    <w:rsid w:val="7BD70D93"/>
    <w:rsid w:val="7BE532E0"/>
    <w:rsid w:val="7CA0464C"/>
    <w:rsid w:val="7E327526"/>
    <w:rsid w:val="7F1D3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qFormat="1" w:unhideWhenUsed="0" w:uiPriority="99"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4">
    <w:name w:val="heading 1"/>
    <w:basedOn w:val="1"/>
    <w:next w:val="1"/>
    <w:qFormat/>
    <w:uiPriority w:val="0"/>
    <w:pPr>
      <w:keepNext/>
      <w:keepLines/>
      <w:spacing w:before="340" w:after="330" w:line="576" w:lineRule="auto"/>
      <w:outlineLvl w:val="0"/>
    </w:pPr>
    <w:rPr>
      <w:b/>
      <w:bCs/>
      <w:kern w:val="44"/>
      <w:sz w:val="44"/>
      <w:szCs w:val="44"/>
    </w:rPr>
  </w:style>
  <w:style w:type="paragraph" w:styleId="5">
    <w:name w:val="heading 2"/>
    <w:basedOn w:val="1"/>
    <w:next w:val="1"/>
    <w:qFormat/>
    <w:uiPriority w:val="0"/>
    <w:pPr>
      <w:keepNext/>
      <w:keepLines/>
      <w:adjustRightInd w:val="0"/>
      <w:snapToGrid w:val="0"/>
      <w:spacing w:line="360" w:lineRule="auto"/>
      <w:jc w:val="center"/>
      <w:outlineLvl w:val="1"/>
    </w:pPr>
    <w:rPr>
      <w:rFonts w:ascii="宋体" w:hAnsi="Arial" w:cs="宋体"/>
      <w:sz w:val="32"/>
    </w:rPr>
  </w:style>
  <w:style w:type="paragraph" w:styleId="6">
    <w:name w:val="heading 3"/>
    <w:basedOn w:val="1"/>
    <w:next w:val="7"/>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3"/>
    <w:qFormat/>
    <w:uiPriority w:val="0"/>
    <w:pPr>
      <w:spacing w:line="312" w:lineRule="auto"/>
      <w:ind w:firstLine="420"/>
    </w:pPr>
  </w:style>
  <w:style w:type="paragraph" w:styleId="3">
    <w:name w:val="Body Text"/>
    <w:basedOn w:val="1"/>
    <w:next w:val="1"/>
    <w:qFormat/>
    <w:uiPriority w:val="0"/>
    <w:pPr>
      <w:spacing w:after="120"/>
    </w:pPr>
  </w:style>
  <w:style w:type="paragraph" w:styleId="7">
    <w:name w:val="Normal Indent"/>
    <w:basedOn w:val="1"/>
    <w:next w:val="1"/>
    <w:qFormat/>
    <w:uiPriority w:val="0"/>
    <w:pPr>
      <w:ind w:firstLine="420"/>
    </w:pPr>
  </w:style>
  <w:style w:type="paragraph" w:styleId="8">
    <w:name w:val="Body Text Indent"/>
    <w:basedOn w:val="1"/>
    <w:semiHidden/>
    <w:unhideWhenUsed/>
    <w:qFormat/>
    <w:uiPriority w:val="0"/>
    <w:pPr>
      <w:spacing w:after="120" w:afterLines="0" w:afterAutospacing="0"/>
      <w:ind w:left="420" w:leftChars="200"/>
    </w:pPr>
  </w:style>
  <w:style w:type="paragraph" w:styleId="9">
    <w:name w:val="Plain Text"/>
    <w:basedOn w:val="1"/>
    <w:next w:val="1"/>
    <w:qFormat/>
    <w:uiPriority w:val="0"/>
    <w:rPr>
      <w:rFonts w:ascii="宋体" w:hAnsi="Courier New" w:cs="Courier New"/>
      <w:szCs w:val="21"/>
    </w:rPr>
  </w:style>
  <w:style w:type="paragraph" w:styleId="10">
    <w:name w:val="Balloon Text"/>
    <w:basedOn w:val="1"/>
    <w:link w:val="31"/>
    <w:qFormat/>
    <w:uiPriority w:val="0"/>
    <w:rPr>
      <w:sz w:val="18"/>
      <w:szCs w:val="18"/>
    </w:rPr>
  </w:style>
  <w:style w:type="paragraph" w:styleId="11">
    <w:name w:val="footer"/>
    <w:basedOn w:val="1"/>
    <w:link w:val="36"/>
    <w:qFormat/>
    <w:uiPriority w:val="99"/>
    <w:pPr>
      <w:tabs>
        <w:tab w:val="center" w:pos="4153"/>
        <w:tab w:val="right" w:pos="8306"/>
      </w:tabs>
      <w:snapToGrid w:val="0"/>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toc 1"/>
    <w:basedOn w:val="1"/>
    <w:next w:val="1"/>
    <w:qFormat/>
    <w:uiPriority w:val="39"/>
    <w:pPr>
      <w:spacing w:line="360" w:lineRule="auto"/>
      <w:ind w:left="824" w:hanging="824"/>
    </w:pPr>
    <w:rPr>
      <w:rFonts w:ascii="宋体"/>
    </w:rPr>
  </w:style>
  <w:style w:type="paragraph" w:styleId="14">
    <w:name w:val="footnote text"/>
    <w:basedOn w:val="1"/>
    <w:qFormat/>
    <w:uiPriority w:val="0"/>
    <w:pPr>
      <w:snapToGrid w:val="0"/>
    </w:pPr>
    <w:rPr>
      <w:sz w:val="18"/>
      <w:szCs w:val="18"/>
    </w:rPr>
  </w:style>
  <w:style w:type="paragraph" w:styleId="15">
    <w:name w:val="Body Text 2"/>
    <w:basedOn w:val="1"/>
    <w:qFormat/>
    <w:uiPriority w:val="99"/>
    <w:pPr>
      <w:spacing w:line="360" w:lineRule="auto"/>
    </w:pPr>
    <w:rPr>
      <w:b/>
      <w:bCs/>
      <w:szCs w:val="21"/>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Hyperlink"/>
    <w:qFormat/>
    <w:uiPriority w:val="99"/>
    <w:rPr>
      <w:color w:val="0000FF"/>
      <w:u w:val="single"/>
    </w:rPr>
  </w:style>
  <w:style w:type="character" w:styleId="21">
    <w:name w:val="footnote reference"/>
    <w:qFormat/>
    <w:uiPriority w:val="0"/>
    <w:rPr>
      <w:vertAlign w:val="superscript"/>
    </w:rPr>
  </w:style>
  <w:style w:type="paragraph" w:customStyle="1" w:styleId="22">
    <w:name w:val="样式 宋体 行距: 1.5 倍行距"/>
    <w:basedOn w:val="1"/>
    <w:qFormat/>
    <w:uiPriority w:val="0"/>
    <w:pPr>
      <w:jc w:val="center"/>
    </w:pPr>
    <w:rPr>
      <w:rFonts w:ascii="Times New Roman" w:hAnsi="Times New Roman" w:eastAsia="宋体" w:cs="Times New Roman"/>
      <w:b/>
    </w:rPr>
  </w:style>
  <w:style w:type="paragraph" w:customStyle="1" w:styleId="23">
    <w:name w:val="_Style 3"/>
    <w:qFormat/>
    <w:uiPriority w:val="1"/>
    <w:pPr>
      <w:widowControl w:val="0"/>
      <w:jc w:val="both"/>
    </w:pPr>
    <w:rPr>
      <w:rFonts w:ascii="Calibri" w:hAnsi="Calibri" w:eastAsia="宋体" w:cs="仿宋_GB2312"/>
      <w:kern w:val="2"/>
      <w:sz w:val="21"/>
      <w:szCs w:val="22"/>
      <w:lang w:val="en-US" w:eastAsia="zh-CN" w:bidi="ar-SA"/>
    </w:rPr>
  </w:style>
  <w:style w:type="character" w:customStyle="1" w:styleId="24">
    <w:name w:val="p141"/>
    <w:qFormat/>
    <w:uiPriority w:val="0"/>
    <w:rPr>
      <w:sz w:val="21"/>
      <w:szCs w:val="21"/>
    </w:rPr>
  </w:style>
  <w:style w:type="paragraph" w:customStyle="1" w:styleId="25">
    <w:name w:val="表格正文-DDDDD"/>
    <w:basedOn w:val="1"/>
    <w:qFormat/>
    <w:uiPriority w:val="0"/>
    <w:pPr>
      <w:spacing w:line="300" w:lineRule="exact"/>
      <w:jc w:val="center"/>
    </w:pPr>
    <w:rPr>
      <w:rFonts w:ascii="方正宋三简体" w:eastAsia="方正宋三简体"/>
      <w:szCs w:val="21"/>
    </w:rPr>
  </w:style>
  <w:style w:type="paragraph" w:customStyle="1" w:styleId="2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1_0"/>
    <w:basedOn w:val="1"/>
    <w:next w:val="28"/>
    <w:qFormat/>
    <w:uiPriority w:val="0"/>
    <w:rPr>
      <w:rFonts w:ascii="宋体" w:hAnsi="Courier New"/>
    </w:rPr>
  </w:style>
  <w:style w:type="paragraph" w:customStyle="1" w:styleId="28">
    <w:name w:val="纯文本_0"/>
    <w:basedOn w:val="1"/>
    <w:qFormat/>
    <w:uiPriority w:val="0"/>
    <w:rPr>
      <w:rFonts w:ascii="宋体" w:hAnsi="Courier New"/>
    </w:rPr>
  </w:style>
  <w:style w:type="paragraph" w:customStyle="1" w:styleId="2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纯文本_0_0"/>
    <w:basedOn w:val="29"/>
    <w:qFormat/>
    <w:uiPriority w:val="0"/>
    <w:rPr>
      <w:rFonts w:ascii="宋体" w:hAnsi="Courier New"/>
      <w:spacing w:val="8"/>
      <w:sz w:val="24"/>
      <w:szCs w:val="24"/>
    </w:rPr>
  </w:style>
  <w:style w:type="character" w:customStyle="1" w:styleId="31">
    <w:name w:val="批注框文本 字符"/>
    <w:basedOn w:val="18"/>
    <w:link w:val="10"/>
    <w:qFormat/>
    <w:uiPriority w:val="0"/>
    <w:rPr>
      <w:rFonts w:ascii="Times New Roman" w:hAnsi="Times New Roman" w:eastAsia="宋体" w:cs="Times New Roman"/>
      <w:sz w:val="18"/>
      <w:szCs w:val="18"/>
    </w:rPr>
  </w:style>
  <w:style w:type="paragraph" w:customStyle="1" w:styleId="32">
    <w:name w:val="Revision"/>
    <w:hidden/>
    <w:semiHidden/>
    <w:qFormat/>
    <w:uiPriority w:val="99"/>
    <w:rPr>
      <w:rFonts w:ascii="Times New Roman" w:hAnsi="Times New Roman" w:eastAsia="宋体" w:cs="Times New Roman"/>
      <w:sz w:val="21"/>
      <w:lang w:val="en-US" w:eastAsia="zh-CN" w:bidi="ar-SA"/>
    </w:rPr>
  </w:style>
  <w:style w:type="paragraph" w:styleId="33">
    <w:name w:val="List Paragraph"/>
    <w:basedOn w:val="1"/>
    <w:qFormat/>
    <w:uiPriority w:val="99"/>
    <w:pPr>
      <w:ind w:firstLine="420" w:firstLineChars="200"/>
    </w:pPr>
  </w:style>
  <w:style w:type="table" w:customStyle="1" w:styleId="34">
    <w:name w:val="Grid Table Light"/>
    <w:basedOn w:val="1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5">
    <w:name w:val="Plain Table 1"/>
    <w:basedOn w:val="16"/>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6">
    <w:name w:val="页脚 字符"/>
    <w:basedOn w:val="18"/>
    <w:link w:val="11"/>
    <w:qFormat/>
    <w:uiPriority w:val="99"/>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3249-61FF-41A8-9B54-591D580341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4801</Words>
  <Characters>5171</Characters>
  <Lines>90</Lines>
  <Paragraphs>25</Paragraphs>
  <TotalTime>10</TotalTime>
  <ScaleCrop>false</ScaleCrop>
  <LinksUpToDate>false</LinksUpToDate>
  <CharactersWithSpaces>5249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2022-08-17T03:14:00Z</dcterms:created>
  <dc:creator>15</dc:creator>
  <cp:lastModifiedBy>不正常人类</cp:lastModifiedBy>
  <cp:lastPrinted>2024-08-16T08:50:00Z</cp:lastPrinted>
  <dcterms:modified xsi:type="dcterms:W3CDTF">2024-08-29T07:25:26Z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2C5518C221F2477ABA392B7BF29E1EED_13</vt:lpwstr>
  </property>
  <property fmtid="{D5CDD505-2E9C-101B-9397-08002B2CF9AE}" pid="4" name="commondata">
    <vt:lpwstr>eyJoZGlkIjoiNTU4MzgxY2E3YzBmYzc3M2M4ZmMzMGMzZmQ4NzY3YjIifQ==</vt:lpwstr>
  </property>
</Properties>
</file>