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56331">
      <w:pPr>
        <w:snapToGrid w:val="0"/>
        <w:spacing w:line="360" w:lineRule="auto"/>
        <w:jc w:val="left"/>
        <w:rPr>
          <w:rFonts w:hint="eastAsia" w:ascii="宋体" w:hAnsi="宋体" w:eastAsia="宋体" w:cs="宋体"/>
          <w:b/>
          <w:bCs/>
          <w:color w:val="333333"/>
          <w:sz w:val="24"/>
          <w:szCs w:val="24"/>
          <w:lang w:val="en-US" w:eastAsia="zh-CN"/>
        </w:rPr>
      </w:pPr>
      <w:bookmarkStart w:id="1" w:name="_GoBack"/>
      <w:bookmarkStart w:id="0" w:name="_Hlk111453738"/>
      <w:r>
        <w:rPr>
          <w:rFonts w:hint="eastAsia" w:ascii="宋体" w:hAnsi="宋体" w:eastAsia="宋体" w:cs="宋体"/>
          <w:b/>
          <w:bCs/>
          <w:color w:val="333333"/>
          <w:sz w:val="24"/>
          <w:szCs w:val="24"/>
          <w:lang w:val="en-US" w:eastAsia="zh-CN"/>
        </w:rPr>
        <w:t>附件2：资格审查条件附录1至附录5</w:t>
      </w:r>
      <w:bookmarkEnd w:id="1"/>
    </w:p>
    <w:p w14:paraId="239DD820">
      <w:pPr>
        <w:pStyle w:val="9"/>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附录1  资格审查条件（资质最低要求）</w:t>
      </w:r>
    </w:p>
    <w:p w14:paraId="33901A48">
      <w:pPr>
        <w:pStyle w:val="9"/>
        <w:rPr>
          <w:rFonts w:hint="eastAsia" w:ascii="宋体" w:hAnsi="宋体" w:eastAsia="宋体" w:cs="宋体"/>
          <w:color w:val="auto"/>
          <w:highlight w:val="none"/>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4771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5187316">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资质等级要求</w:t>
            </w:r>
          </w:p>
        </w:tc>
      </w:tr>
      <w:tr w14:paraId="2666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5CF45BB9">
            <w:pPr>
              <w:pStyle w:val="9"/>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具有独立法人资格，持有工商行政管理部门颁发的有效的</w:t>
            </w:r>
            <w:r>
              <w:rPr>
                <w:rFonts w:hint="eastAsia" w:hAnsi="宋体" w:cs="宋体"/>
                <w:color w:val="auto"/>
                <w:highlight w:val="none"/>
                <w:lang w:val="en-US" w:eastAsia="zh-CN"/>
              </w:rPr>
              <w:t>企业法人</w:t>
            </w:r>
            <w:r>
              <w:rPr>
                <w:rFonts w:hint="eastAsia" w:ascii="宋体" w:hAnsi="宋体" w:eastAsia="宋体" w:cs="宋体"/>
                <w:color w:val="auto"/>
                <w:highlight w:val="none"/>
              </w:rPr>
              <w:t>营业执照。</w:t>
            </w:r>
          </w:p>
        </w:tc>
      </w:tr>
    </w:tbl>
    <w:p w14:paraId="0EE330F9">
      <w:pPr>
        <w:rPr>
          <w:rFonts w:hint="eastAsia" w:ascii="宋体" w:hAnsi="宋体" w:eastAsia="宋体" w:cs="宋体"/>
          <w:b/>
          <w:bCs/>
          <w:sz w:val="18"/>
          <w:szCs w:val="18"/>
          <w:highlight w:val="none"/>
        </w:rPr>
      </w:pPr>
      <w:r>
        <w:rPr>
          <w:rFonts w:hint="eastAsia" w:ascii="宋体" w:hAnsi="宋体" w:eastAsia="宋体" w:cs="宋体"/>
          <w:color w:val="auto"/>
          <w:highlight w:val="none"/>
        </w:rPr>
        <w:t xml:space="preserve">   </w:t>
      </w:r>
      <w:r>
        <w:rPr>
          <w:rFonts w:hint="eastAsia" w:ascii="宋体" w:hAnsi="宋体" w:eastAsia="宋体" w:cs="宋体"/>
          <w:b/>
          <w:bCs/>
          <w:sz w:val="18"/>
          <w:szCs w:val="18"/>
          <w:highlight w:val="none"/>
        </w:rPr>
        <w:t xml:space="preserve"> 注：需在</w:t>
      </w:r>
      <w:r>
        <w:rPr>
          <w:rFonts w:hint="eastAsia" w:ascii="宋体" w:hAnsi="宋体" w:eastAsia="宋体" w:cs="宋体"/>
          <w:b/>
          <w:bCs/>
          <w:sz w:val="18"/>
          <w:szCs w:val="18"/>
          <w:highlight w:val="none"/>
          <w:lang w:eastAsia="zh-CN"/>
        </w:rPr>
        <w:t>响应文件《</w:t>
      </w:r>
      <w:r>
        <w:rPr>
          <w:rFonts w:hint="eastAsia" w:ascii="宋体" w:hAnsi="宋体" w:eastAsia="宋体" w:cs="宋体"/>
          <w:b/>
          <w:bCs/>
          <w:sz w:val="18"/>
          <w:szCs w:val="18"/>
          <w:highlight w:val="none"/>
        </w:rPr>
        <w:t>供应商基本情况表</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后附上述证明材料</w:t>
      </w:r>
    </w:p>
    <w:p w14:paraId="1B7862E2">
      <w:pPr>
        <w:pStyle w:val="9"/>
        <w:rPr>
          <w:rFonts w:hint="eastAsia" w:ascii="宋体" w:hAnsi="宋体" w:eastAsia="宋体" w:cs="宋体"/>
          <w:color w:val="auto"/>
          <w:highlight w:val="none"/>
        </w:rPr>
      </w:pPr>
    </w:p>
    <w:p w14:paraId="6F3F3371">
      <w:pPr>
        <w:pStyle w:val="9"/>
        <w:jc w:val="center"/>
        <w:rPr>
          <w:rFonts w:hint="eastAsia" w:ascii="宋体" w:hAnsi="宋体" w:eastAsia="宋体" w:cs="宋体"/>
          <w:b/>
          <w:bCs/>
          <w:color w:val="auto"/>
          <w:highlight w:val="none"/>
        </w:rPr>
      </w:pPr>
    </w:p>
    <w:p w14:paraId="2CFE1D30">
      <w:pPr>
        <w:rPr>
          <w:rFonts w:hint="eastAsia" w:ascii="宋体" w:hAnsi="宋体" w:eastAsia="宋体" w:cs="宋体"/>
          <w:highlight w:val="none"/>
        </w:rPr>
      </w:pPr>
    </w:p>
    <w:p w14:paraId="38F7EA76">
      <w:pPr>
        <w:pStyle w:val="9"/>
        <w:jc w:val="center"/>
        <w:rPr>
          <w:rFonts w:hint="eastAsia" w:ascii="宋体" w:hAnsi="宋体" w:eastAsia="宋体" w:cs="宋体"/>
          <w:color w:val="auto"/>
          <w:highlight w:val="none"/>
        </w:rPr>
      </w:pPr>
      <w:r>
        <w:rPr>
          <w:rFonts w:hint="eastAsia" w:ascii="宋体" w:hAnsi="宋体" w:eastAsia="宋体" w:cs="宋体"/>
          <w:b/>
          <w:bCs/>
          <w:color w:val="auto"/>
          <w:highlight w:val="none"/>
        </w:rPr>
        <w:t>附录2  资格审查条件（业绩最低要求）</w:t>
      </w:r>
    </w:p>
    <w:p w14:paraId="7D29D2AD">
      <w:pPr>
        <w:pStyle w:val="9"/>
        <w:rPr>
          <w:rFonts w:hint="eastAsia" w:ascii="宋体" w:hAnsi="宋体" w:eastAsia="宋体" w:cs="宋体"/>
          <w:color w:val="auto"/>
          <w:highlight w:val="none"/>
        </w:rPr>
      </w:pPr>
    </w:p>
    <w:p w14:paraId="70416009">
      <w:pPr>
        <w:rPr>
          <w:rFonts w:hint="eastAsia" w:ascii="宋体" w:hAnsi="宋体" w:eastAsia="宋体" w:cs="宋体"/>
          <w:highlight w:val="none"/>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F00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5000" w:type="pct"/>
            <w:noWrap w:val="0"/>
            <w:vAlign w:val="center"/>
          </w:tcPr>
          <w:p w14:paraId="1B7EA1FE">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业绩要求</w:t>
            </w:r>
          </w:p>
        </w:tc>
      </w:tr>
      <w:tr w14:paraId="3F98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000" w:type="pct"/>
            <w:noWrap w:val="0"/>
            <w:vAlign w:val="center"/>
          </w:tcPr>
          <w:p w14:paraId="2F3AC5BA">
            <w:pPr>
              <w:pStyle w:val="9"/>
              <w:rPr>
                <w:rFonts w:hint="eastAsia" w:ascii="宋体" w:hAnsi="宋体" w:eastAsia="宋体" w:cs="宋体"/>
                <w:color w:val="auto"/>
                <w:highlight w:val="none"/>
              </w:rPr>
            </w:pPr>
            <w:r>
              <w:rPr>
                <w:rFonts w:hint="eastAsia" w:ascii="宋体" w:hAnsi="宋体" w:eastAsia="宋体" w:cs="宋体"/>
                <w:color w:val="auto"/>
                <w:highlight w:val="none"/>
              </w:rPr>
              <w:t>近</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年内（20</w:t>
            </w: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月1日）至少独立承揽过</w:t>
            </w:r>
            <w:r>
              <w:rPr>
                <w:rFonts w:hint="eastAsia" w:ascii="宋体" w:hAnsi="宋体" w:eastAsia="宋体" w:cs="宋体"/>
                <w:color w:val="auto"/>
                <w:highlight w:val="none"/>
                <w:lang w:eastAsia="zh-CN"/>
              </w:rPr>
              <w:t>1项交通围蔽服务项目</w:t>
            </w:r>
            <w:r>
              <w:rPr>
                <w:rFonts w:hint="eastAsia" w:ascii="宋体" w:hAnsi="宋体" w:eastAsia="宋体" w:cs="宋体"/>
                <w:color w:val="auto"/>
                <w:highlight w:val="none"/>
              </w:rPr>
              <w:t>。</w:t>
            </w:r>
          </w:p>
        </w:tc>
      </w:tr>
    </w:tbl>
    <w:p w14:paraId="287BAD13">
      <w:pPr>
        <w:ind w:firstLine="361"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注：1.按</w:t>
      </w:r>
      <w:r>
        <w:rPr>
          <w:rFonts w:hint="eastAsia" w:ascii="宋体" w:hAnsi="宋体" w:eastAsia="宋体" w:cs="宋体"/>
          <w:b/>
          <w:bCs/>
          <w:sz w:val="18"/>
          <w:szCs w:val="18"/>
          <w:highlight w:val="none"/>
          <w:lang w:eastAsia="zh-CN"/>
        </w:rPr>
        <w:t>响应文件</w:t>
      </w:r>
      <w:r>
        <w:rPr>
          <w:rFonts w:hint="eastAsia" w:ascii="宋体" w:hAnsi="宋体" w:eastAsia="宋体" w:cs="宋体"/>
          <w:b/>
          <w:bCs/>
          <w:sz w:val="18"/>
          <w:szCs w:val="18"/>
          <w:highlight w:val="none"/>
        </w:rPr>
        <w:t>格式附表3-2</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lang w:val="en-US" w:eastAsia="zh-CN"/>
        </w:rPr>
        <w:t>近年承揽的类似项目情况表</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的要求填写。后须附合同协议书的复印件。</w:t>
      </w:r>
    </w:p>
    <w:p w14:paraId="074EDFBE">
      <w:pPr>
        <w:ind w:firstLine="723" w:firstLineChars="400"/>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2.承接时间以合同中载明的项目合同签订时间为准，如合同无载明时间和工作内容，需附业主开具的相应内容证明材料。</w:t>
      </w:r>
    </w:p>
    <w:p w14:paraId="7D43F692">
      <w:pPr>
        <w:ind w:firstLine="361"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 xml:space="preserve">    3.如近年来，</w:t>
      </w:r>
      <w:r>
        <w:rPr>
          <w:rFonts w:hint="eastAsia" w:ascii="宋体" w:hAnsi="宋体" w:eastAsia="宋体" w:cs="宋体"/>
          <w:b/>
          <w:bCs/>
          <w:sz w:val="18"/>
          <w:szCs w:val="18"/>
          <w:highlight w:val="none"/>
          <w:lang w:eastAsia="zh-CN"/>
        </w:rPr>
        <w:t>供应商</w:t>
      </w:r>
      <w:r>
        <w:rPr>
          <w:rFonts w:hint="eastAsia" w:ascii="宋体" w:hAnsi="宋体" w:eastAsia="宋体" w:cs="宋体"/>
          <w:b/>
          <w:bCs/>
          <w:sz w:val="18"/>
          <w:szCs w:val="18"/>
          <w:highlight w:val="none"/>
        </w:rPr>
        <w:t>法人机构发生合法变更或重组或法人名称变更时，应提供相关部门的合法批件或其他相关证明材料来证明其所附业绩的继承性。</w:t>
      </w:r>
    </w:p>
    <w:p w14:paraId="23041D32">
      <w:pPr>
        <w:pStyle w:val="9"/>
        <w:rPr>
          <w:rFonts w:hint="eastAsia" w:ascii="宋体" w:hAnsi="宋体" w:eastAsia="宋体" w:cs="宋体"/>
          <w:color w:val="auto"/>
          <w:highlight w:val="none"/>
        </w:rPr>
      </w:pPr>
    </w:p>
    <w:p w14:paraId="7315166D">
      <w:pPr>
        <w:pStyle w:val="9"/>
        <w:jc w:val="center"/>
        <w:rPr>
          <w:rFonts w:hint="eastAsia" w:ascii="宋体" w:hAnsi="宋体" w:eastAsia="宋体" w:cs="宋体"/>
          <w:b/>
          <w:bCs/>
          <w:color w:val="auto"/>
          <w:highlight w:val="none"/>
        </w:rPr>
      </w:pPr>
    </w:p>
    <w:p w14:paraId="024CC647">
      <w:pPr>
        <w:pStyle w:val="9"/>
        <w:jc w:val="center"/>
        <w:rPr>
          <w:rFonts w:hint="eastAsia" w:ascii="宋体" w:hAnsi="宋体" w:eastAsia="宋体" w:cs="宋体"/>
          <w:b/>
          <w:bCs/>
          <w:color w:val="auto"/>
          <w:highlight w:val="none"/>
        </w:rPr>
      </w:pPr>
    </w:p>
    <w:p w14:paraId="16D28617">
      <w:pPr>
        <w:pStyle w:val="9"/>
        <w:jc w:val="center"/>
        <w:rPr>
          <w:rFonts w:hint="eastAsia" w:ascii="宋体" w:hAnsi="宋体" w:eastAsia="宋体" w:cs="宋体"/>
          <w:color w:val="auto"/>
          <w:highlight w:val="none"/>
        </w:rPr>
      </w:pPr>
      <w:r>
        <w:rPr>
          <w:rFonts w:hint="eastAsia" w:ascii="宋体" w:hAnsi="宋体" w:eastAsia="宋体" w:cs="宋体"/>
          <w:b/>
          <w:bCs/>
          <w:color w:val="auto"/>
          <w:highlight w:val="none"/>
        </w:rPr>
        <w:t>附录3  资格审查条件（信誉最低要求）</w:t>
      </w:r>
    </w:p>
    <w:p w14:paraId="7E9F9E25">
      <w:pPr>
        <w:pStyle w:val="9"/>
        <w:rPr>
          <w:rFonts w:hint="eastAsia" w:ascii="宋体" w:hAnsi="宋体" w:eastAsia="宋体" w:cs="宋体"/>
          <w:color w:val="auto"/>
          <w:highlight w:val="none"/>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AB4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noWrap w:val="0"/>
            <w:vAlign w:val="center"/>
          </w:tcPr>
          <w:p w14:paraId="594F9433">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信誉要求</w:t>
            </w:r>
          </w:p>
        </w:tc>
      </w:tr>
      <w:tr w14:paraId="3AFB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5000" w:type="pct"/>
            <w:noWrap w:val="0"/>
            <w:vAlign w:val="center"/>
          </w:tcPr>
          <w:p w14:paraId="65CB1EE9">
            <w:pPr>
              <w:pStyle w:val="9"/>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中国执行信息公开网</w:t>
            </w:r>
            <w:r>
              <w:rPr>
                <w:rFonts w:hint="eastAsia" w:ascii="宋体" w:hAnsi="宋体" w:eastAsia="宋体" w:cs="宋体"/>
                <w:color w:val="auto"/>
                <w:highlight w:val="none"/>
              </w:rPr>
              <w:t>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"http://www.creditchina.gov.cn/)%e4%b8%ad%e8%a2%ab%e5%88%97%e5%85%a5%e5%a4%b1%e4%bf%a1%e8%a2%ab%e6%89%a7"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http://zxgk.court.gov.cn/shixin/)中</w:t>
            </w:r>
            <w:r>
              <w:rPr>
                <w:rFonts w:hint="eastAsia" w:ascii="宋体" w:hAnsi="宋体" w:eastAsia="宋体" w:cs="宋体"/>
                <w:color w:val="auto"/>
                <w:highlight w:val="none"/>
                <w:lang w:eastAsia="zh-CN"/>
              </w:rPr>
              <w:t>未</w:t>
            </w:r>
            <w:r>
              <w:rPr>
                <w:rFonts w:hint="eastAsia" w:ascii="宋体" w:hAnsi="宋体" w:eastAsia="宋体" w:cs="宋体"/>
                <w:color w:val="auto"/>
                <w:highlight w:val="none"/>
              </w:rPr>
              <w:t>被列入失信被执</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行人名单，在国家企业信用信息公示系统（www.gsxt.gov.cn）中未被列入严重违法失信企业名单。</w:t>
            </w:r>
          </w:p>
        </w:tc>
      </w:tr>
    </w:tbl>
    <w:p w14:paraId="1644C9BA">
      <w:pPr>
        <w:pStyle w:val="9"/>
        <w:rPr>
          <w:rFonts w:hint="eastAsia" w:ascii="宋体" w:hAnsi="宋体" w:eastAsia="宋体" w:cs="宋体"/>
          <w:color w:val="auto"/>
          <w:highlight w:val="none"/>
        </w:rPr>
      </w:pPr>
      <w:r>
        <w:rPr>
          <w:rFonts w:hint="eastAsia" w:ascii="宋体" w:hAnsi="宋体" w:eastAsia="宋体" w:cs="宋体"/>
          <w:b/>
          <w:bCs/>
          <w:sz w:val="18"/>
          <w:szCs w:val="18"/>
          <w:highlight w:val="none"/>
        </w:rPr>
        <w:t>注：需在</w:t>
      </w:r>
      <w:r>
        <w:rPr>
          <w:rFonts w:hint="eastAsia" w:ascii="宋体" w:hAnsi="宋体" w:eastAsia="宋体" w:cs="宋体"/>
          <w:b/>
          <w:bCs/>
          <w:sz w:val="18"/>
          <w:szCs w:val="18"/>
          <w:highlight w:val="none"/>
          <w:lang w:eastAsia="zh-CN"/>
        </w:rPr>
        <w:t>响应文件《</w:t>
      </w:r>
      <w:r>
        <w:rPr>
          <w:rFonts w:hint="eastAsia" w:ascii="宋体" w:hAnsi="宋体" w:eastAsia="宋体" w:cs="宋体"/>
          <w:b/>
          <w:bCs/>
          <w:sz w:val="18"/>
          <w:szCs w:val="18"/>
          <w:highlight w:val="none"/>
        </w:rPr>
        <w:t>供应商的信誉情况表</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后附查询截图</w:t>
      </w:r>
    </w:p>
    <w:p w14:paraId="21484822">
      <w:pPr>
        <w:pStyle w:val="9"/>
        <w:rPr>
          <w:rFonts w:hint="eastAsia" w:ascii="宋体" w:hAnsi="宋体" w:eastAsia="宋体" w:cs="宋体"/>
          <w:color w:val="auto"/>
          <w:highlight w:val="none"/>
        </w:rPr>
      </w:pPr>
    </w:p>
    <w:p w14:paraId="7DFF70DF">
      <w:pPr>
        <w:rPr>
          <w:rFonts w:hint="eastAsia" w:ascii="宋体" w:hAnsi="宋体" w:eastAsia="宋体" w:cs="宋体"/>
          <w:b/>
          <w:bCs/>
          <w:color w:val="auto"/>
          <w:highlight w:val="none"/>
        </w:rPr>
      </w:pPr>
      <w:r>
        <w:rPr>
          <w:rFonts w:hint="eastAsia" w:ascii="宋体" w:hAnsi="宋体" w:eastAsia="宋体" w:cs="宋体"/>
          <w:b/>
          <w:bCs/>
          <w:color w:val="auto"/>
          <w:highlight w:val="none"/>
        </w:rPr>
        <w:br w:type="page"/>
      </w:r>
    </w:p>
    <w:p w14:paraId="375872C1">
      <w:pPr>
        <w:pStyle w:val="9"/>
        <w:jc w:val="center"/>
        <w:rPr>
          <w:rFonts w:hint="eastAsia" w:ascii="宋体" w:hAnsi="宋体" w:eastAsia="宋体" w:cs="宋体"/>
          <w:color w:val="auto"/>
          <w:highlight w:val="none"/>
        </w:rPr>
      </w:pPr>
      <w:r>
        <w:rPr>
          <w:rFonts w:hint="eastAsia" w:ascii="宋体" w:hAnsi="宋体" w:eastAsia="宋体" w:cs="宋体"/>
          <w:b/>
          <w:bCs/>
          <w:color w:val="auto"/>
          <w:highlight w:val="none"/>
        </w:rPr>
        <w:t>附录4  资格审查条件（人员最低要求）</w:t>
      </w:r>
    </w:p>
    <w:tbl>
      <w:tblPr>
        <w:tblStyle w:val="16"/>
        <w:tblW w:w="49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46"/>
        <w:gridCol w:w="924"/>
        <w:gridCol w:w="2276"/>
        <w:gridCol w:w="3200"/>
        <w:gridCol w:w="1670"/>
      </w:tblGrid>
      <w:tr w14:paraId="55EEB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216" w:type="pct"/>
            <w:noWrap w:val="0"/>
            <w:vAlign w:val="center"/>
          </w:tcPr>
          <w:p w14:paraId="5D5A0C57">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684" w:type="pct"/>
            <w:noWrap w:val="0"/>
            <w:vAlign w:val="center"/>
          </w:tcPr>
          <w:p w14:paraId="5440D2D9">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担任职务</w:t>
            </w:r>
          </w:p>
        </w:tc>
        <w:tc>
          <w:tcPr>
            <w:tcW w:w="469" w:type="pct"/>
            <w:noWrap w:val="0"/>
            <w:vAlign w:val="center"/>
          </w:tcPr>
          <w:p w14:paraId="459B6789">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最低数量要求</w:t>
            </w:r>
          </w:p>
        </w:tc>
        <w:tc>
          <w:tcPr>
            <w:tcW w:w="1156" w:type="pct"/>
            <w:noWrap w:val="0"/>
            <w:vAlign w:val="center"/>
          </w:tcPr>
          <w:p w14:paraId="1F09E646">
            <w:pPr>
              <w:pStyle w:val="9"/>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资格</w:t>
            </w:r>
            <w:r>
              <w:rPr>
                <w:rFonts w:hint="eastAsia" w:ascii="宋体" w:hAnsi="宋体" w:eastAsia="宋体" w:cs="宋体"/>
                <w:color w:val="auto"/>
                <w:highlight w:val="none"/>
                <w:lang w:val="en-US" w:eastAsia="zh-CN"/>
              </w:rPr>
              <w:t>条件</w:t>
            </w:r>
          </w:p>
        </w:tc>
        <w:tc>
          <w:tcPr>
            <w:tcW w:w="1625" w:type="pct"/>
            <w:noWrap w:val="0"/>
            <w:vAlign w:val="center"/>
          </w:tcPr>
          <w:p w14:paraId="0FFAC1F0">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要求</w:t>
            </w:r>
          </w:p>
        </w:tc>
        <w:tc>
          <w:tcPr>
            <w:tcW w:w="848" w:type="pct"/>
            <w:noWrap w:val="0"/>
            <w:vAlign w:val="center"/>
          </w:tcPr>
          <w:p w14:paraId="2B3BF6FA">
            <w:pPr>
              <w:pStyle w:val="9"/>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14:paraId="779711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16" w:type="pct"/>
            <w:noWrap w:val="0"/>
            <w:vAlign w:val="center"/>
          </w:tcPr>
          <w:p w14:paraId="29263571">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684" w:type="pct"/>
            <w:noWrap w:val="0"/>
            <w:vAlign w:val="center"/>
          </w:tcPr>
          <w:p w14:paraId="1224385F">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特种车辆操作人员</w:t>
            </w:r>
          </w:p>
        </w:tc>
        <w:tc>
          <w:tcPr>
            <w:tcW w:w="469" w:type="pct"/>
            <w:noWrap w:val="0"/>
            <w:vAlign w:val="center"/>
          </w:tcPr>
          <w:p w14:paraId="772628F5">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156" w:type="pct"/>
            <w:noWrap w:val="0"/>
            <w:vAlign w:val="center"/>
          </w:tcPr>
          <w:p w14:paraId="4B5E8924">
            <w:pPr>
              <w:pStyle w:val="9"/>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持相关部门颁发的</w:t>
            </w:r>
            <w:r>
              <w:rPr>
                <w:rFonts w:hint="eastAsia" w:ascii="宋体" w:hAnsi="宋体" w:eastAsia="宋体" w:cs="宋体"/>
                <w:color w:val="auto"/>
                <w:highlight w:val="none"/>
                <w:lang w:eastAsia="zh-CN"/>
              </w:rPr>
              <w:t>考试合格</w:t>
            </w:r>
            <w:r>
              <w:rPr>
                <w:rFonts w:hint="eastAsia" w:ascii="宋体" w:hAnsi="宋体" w:eastAsia="宋体" w:cs="宋体"/>
                <w:color w:val="auto"/>
                <w:highlight w:val="none"/>
              </w:rPr>
              <w:t>作业操作证</w:t>
            </w:r>
            <w:r>
              <w:rPr>
                <w:rFonts w:hint="eastAsia" w:ascii="宋体" w:hAnsi="宋体" w:eastAsia="宋体" w:cs="宋体"/>
                <w:color w:val="auto"/>
                <w:highlight w:val="none"/>
                <w:lang w:eastAsia="zh-CN"/>
              </w:rPr>
              <w:t>（项目代号为</w:t>
            </w:r>
            <w:r>
              <w:rPr>
                <w:rFonts w:hint="eastAsia" w:ascii="宋体" w:hAnsi="宋体" w:eastAsia="宋体" w:cs="宋体"/>
                <w:color w:val="auto"/>
                <w:highlight w:val="none"/>
                <w:lang w:val="en-US" w:eastAsia="zh-CN"/>
              </w:rPr>
              <w:t>Q2</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人员</w:t>
            </w:r>
            <w:r>
              <w:rPr>
                <w:rFonts w:hint="eastAsia" w:ascii="宋体" w:hAnsi="宋体" w:eastAsia="宋体" w:cs="宋体"/>
                <w:color w:val="auto"/>
                <w:highlight w:val="none"/>
                <w:lang w:val="zh-CN" w:eastAsia="zh-CN"/>
              </w:rPr>
              <w:t>购买不低于五类、保额不少于100万元的意外伤亡险，并在有效期内</w:t>
            </w:r>
            <w:r>
              <w:rPr>
                <w:rFonts w:hint="eastAsia" w:ascii="宋体" w:hAnsi="宋体" w:eastAsia="宋体" w:cs="宋体"/>
                <w:color w:val="auto"/>
                <w:highlight w:val="none"/>
                <w:lang w:eastAsia="zh-CN"/>
              </w:rPr>
              <w:t>。</w:t>
            </w:r>
          </w:p>
        </w:tc>
        <w:tc>
          <w:tcPr>
            <w:tcW w:w="1625" w:type="pct"/>
            <w:noWrap w:val="0"/>
            <w:vAlign w:val="center"/>
          </w:tcPr>
          <w:p w14:paraId="3E74FD3B">
            <w:pPr>
              <w:pStyle w:val="9"/>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操作人员</w:t>
            </w:r>
            <w:r>
              <w:rPr>
                <w:rFonts w:hint="eastAsia" w:ascii="宋体" w:hAnsi="宋体" w:eastAsia="宋体" w:cs="宋体"/>
                <w:color w:val="auto"/>
                <w:highlight w:val="none"/>
                <w:lang w:val="en-US" w:eastAsia="zh-CN"/>
              </w:rPr>
              <w:t>有较强的安全意识，有1年以上操作特种车辆经验。</w:t>
            </w:r>
          </w:p>
        </w:tc>
        <w:tc>
          <w:tcPr>
            <w:tcW w:w="848" w:type="pct"/>
            <w:noWrap w:val="0"/>
            <w:vAlign w:val="center"/>
          </w:tcPr>
          <w:p w14:paraId="748829A0">
            <w:pPr>
              <w:pStyle w:val="9"/>
              <w:rPr>
                <w:rFonts w:hint="eastAsia" w:ascii="宋体" w:hAnsi="宋体" w:eastAsia="宋体" w:cs="宋体"/>
                <w:color w:val="auto"/>
                <w:highlight w:val="none"/>
              </w:rPr>
            </w:pPr>
          </w:p>
        </w:tc>
      </w:tr>
      <w:tr w14:paraId="4EB95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16" w:type="pct"/>
            <w:noWrap w:val="0"/>
            <w:vAlign w:val="center"/>
          </w:tcPr>
          <w:p w14:paraId="1FB6ADF3">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684" w:type="pct"/>
            <w:noWrap w:val="0"/>
            <w:vAlign w:val="center"/>
          </w:tcPr>
          <w:p w14:paraId="06A28458">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特种车辆驾驶员</w:t>
            </w:r>
          </w:p>
        </w:tc>
        <w:tc>
          <w:tcPr>
            <w:tcW w:w="469" w:type="pct"/>
            <w:noWrap w:val="0"/>
            <w:vAlign w:val="center"/>
          </w:tcPr>
          <w:p w14:paraId="132EA93A">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156" w:type="pct"/>
            <w:noWrap w:val="0"/>
            <w:vAlign w:val="center"/>
          </w:tcPr>
          <w:p w14:paraId="29B1D431">
            <w:pPr>
              <w:pStyle w:val="9"/>
              <w:jc w:val="both"/>
              <w:rPr>
                <w:rFonts w:hint="eastAsia" w:ascii="宋体" w:hAnsi="宋体" w:eastAsia="宋体" w:cs="宋体"/>
                <w:color w:val="auto"/>
                <w:highlight w:val="none"/>
              </w:rPr>
            </w:pPr>
            <w:r>
              <w:rPr>
                <w:rFonts w:hint="eastAsia" w:ascii="宋体" w:hAnsi="宋体" w:eastAsia="宋体" w:cs="宋体"/>
                <w:color w:val="auto"/>
                <w:highlight w:val="none"/>
              </w:rPr>
              <w:t>持</w:t>
            </w:r>
            <w:r>
              <w:rPr>
                <w:rFonts w:hint="eastAsia" w:ascii="宋体" w:hAnsi="宋体" w:eastAsia="宋体" w:cs="宋体"/>
                <w:color w:val="auto"/>
                <w:highlight w:val="none"/>
                <w:lang w:eastAsia="zh-CN"/>
              </w:rPr>
              <w:t>有符合相应车辆类别的驾驶证，</w:t>
            </w:r>
            <w:r>
              <w:rPr>
                <w:rFonts w:hint="eastAsia" w:ascii="宋体" w:hAnsi="宋体" w:eastAsia="宋体" w:cs="宋体"/>
                <w:color w:val="auto"/>
                <w:highlight w:val="none"/>
                <w:lang w:val="en-US" w:eastAsia="zh-CN"/>
              </w:rPr>
              <w:t>人员</w:t>
            </w:r>
            <w:r>
              <w:rPr>
                <w:rFonts w:hint="eastAsia" w:ascii="宋体" w:hAnsi="宋体" w:eastAsia="宋体" w:cs="宋体"/>
                <w:color w:val="auto"/>
                <w:highlight w:val="none"/>
                <w:lang w:val="zh-CN" w:eastAsia="zh-CN"/>
              </w:rPr>
              <w:t>购买不低于五类、保额不少于100万元的意外伤亡险，并在有效期内</w:t>
            </w:r>
            <w:r>
              <w:rPr>
                <w:rFonts w:hint="eastAsia" w:ascii="宋体" w:hAnsi="宋体" w:eastAsia="宋体" w:cs="宋体"/>
                <w:color w:val="auto"/>
                <w:highlight w:val="none"/>
                <w:lang w:eastAsia="zh-CN"/>
              </w:rPr>
              <w:t>。</w:t>
            </w:r>
          </w:p>
        </w:tc>
        <w:tc>
          <w:tcPr>
            <w:tcW w:w="1625" w:type="pct"/>
            <w:noWrap w:val="0"/>
            <w:vAlign w:val="center"/>
          </w:tcPr>
          <w:p w14:paraId="1A79FB08">
            <w:pPr>
              <w:pStyle w:val="9"/>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驾驶人员</w:t>
            </w:r>
            <w:r>
              <w:rPr>
                <w:rFonts w:hint="eastAsia" w:ascii="宋体" w:hAnsi="宋体" w:eastAsia="宋体" w:cs="宋体"/>
                <w:color w:val="auto"/>
                <w:highlight w:val="none"/>
                <w:lang w:val="en-US" w:eastAsia="zh-CN"/>
              </w:rPr>
              <w:t>有较强的安全意识，有1年以上特种车辆驾驶经验。</w:t>
            </w:r>
          </w:p>
        </w:tc>
        <w:tc>
          <w:tcPr>
            <w:tcW w:w="848" w:type="pct"/>
            <w:noWrap w:val="0"/>
            <w:vAlign w:val="center"/>
          </w:tcPr>
          <w:p w14:paraId="0BEEBC8C">
            <w:pPr>
              <w:pStyle w:val="9"/>
              <w:rPr>
                <w:rFonts w:hint="eastAsia" w:ascii="宋体" w:hAnsi="宋体" w:eastAsia="宋体" w:cs="宋体"/>
                <w:color w:val="auto"/>
                <w:highlight w:val="none"/>
              </w:rPr>
            </w:pPr>
          </w:p>
        </w:tc>
      </w:tr>
      <w:tr w14:paraId="2D9913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9" w:hRule="atLeast"/>
          <w:jc w:val="center"/>
        </w:trPr>
        <w:tc>
          <w:tcPr>
            <w:tcW w:w="216" w:type="pct"/>
            <w:noWrap w:val="0"/>
            <w:vAlign w:val="center"/>
          </w:tcPr>
          <w:p w14:paraId="03D3C5C0">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684" w:type="pct"/>
            <w:noWrap w:val="0"/>
            <w:vAlign w:val="center"/>
          </w:tcPr>
          <w:p w14:paraId="6F604F12">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安全员</w:t>
            </w:r>
          </w:p>
        </w:tc>
        <w:tc>
          <w:tcPr>
            <w:tcW w:w="469" w:type="pct"/>
            <w:noWrap w:val="0"/>
            <w:vAlign w:val="center"/>
          </w:tcPr>
          <w:p w14:paraId="3CC1FF32">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56" w:type="pct"/>
            <w:noWrap w:val="0"/>
            <w:vAlign w:val="center"/>
          </w:tcPr>
          <w:p w14:paraId="636D27FB">
            <w:pPr>
              <w:pStyle w:val="9"/>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须购买不低于五类、保额不少于100万元的意外伤亡险。</w:t>
            </w:r>
          </w:p>
        </w:tc>
        <w:tc>
          <w:tcPr>
            <w:tcW w:w="1625" w:type="pct"/>
            <w:noWrap w:val="0"/>
            <w:vAlign w:val="center"/>
          </w:tcPr>
          <w:p w14:paraId="1B57AF85">
            <w:pPr>
              <w:pStyle w:val="9"/>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1、具有交通围蔽作业经验，身体状况良好，年龄小于55岁，已有安全防护作业岗前培训，有较强的安全意识，具备安全防护作业能力，有一定的表达能力、管理能力和应变能力。</w:t>
            </w:r>
          </w:p>
          <w:p w14:paraId="436308FE">
            <w:pPr>
              <w:pStyle w:val="9"/>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2、现场作业期间佩戴红袖章，严格按照《头部防护安全帽》（GB/T30041）《安全带》（GB6095）等规定使用防护用品，穿着橘红色反光衣，夜间施工时穿着附加警示灯的反光衣。</w:t>
            </w:r>
          </w:p>
          <w:p w14:paraId="200C5146">
            <w:pPr>
              <w:pStyle w:val="9"/>
              <w:rPr>
                <w:rFonts w:hint="eastAsia" w:ascii="宋体" w:hAnsi="宋体" w:eastAsia="宋体" w:cs="宋体"/>
                <w:color w:val="auto"/>
                <w:highlight w:val="none"/>
                <w:lang w:val="en-US" w:eastAsia="zh-CN"/>
              </w:rPr>
            </w:pPr>
          </w:p>
        </w:tc>
        <w:tc>
          <w:tcPr>
            <w:tcW w:w="848" w:type="pct"/>
            <w:vMerge w:val="restart"/>
            <w:noWrap w:val="0"/>
            <w:vAlign w:val="center"/>
          </w:tcPr>
          <w:p w14:paraId="785950D9">
            <w:pPr>
              <w:pStyle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本安全员数量和交通引导员数量为1组安全防护人员最低要求，如现场作业需同时投入2组安全防护服务，供应商投入数量应不少于以上要求的2倍数，如增加安全防护小组，投入数量以此类推</w:t>
            </w:r>
          </w:p>
        </w:tc>
      </w:tr>
      <w:tr w14:paraId="04E84D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9" w:hRule="atLeast"/>
          <w:jc w:val="center"/>
        </w:trPr>
        <w:tc>
          <w:tcPr>
            <w:tcW w:w="216" w:type="pct"/>
            <w:noWrap w:val="0"/>
            <w:vAlign w:val="center"/>
          </w:tcPr>
          <w:p w14:paraId="0A35A54E">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684" w:type="pct"/>
            <w:noWrap w:val="0"/>
            <w:vAlign w:val="center"/>
          </w:tcPr>
          <w:p w14:paraId="4447D669">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交通引导员</w:t>
            </w:r>
          </w:p>
        </w:tc>
        <w:tc>
          <w:tcPr>
            <w:tcW w:w="469" w:type="pct"/>
            <w:noWrap w:val="0"/>
            <w:vAlign w:val="center"/>
          </w:tcPr>
          <w:p w14:paraId="537B2432">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156" w:type="pct"/>
            <w:noWrap w:val="0"/>
            <w:vAlign w:val="center"/>
          </w:tcPr>
          <w:p w14:paraId="1762DE58">
            <w:pPr>
              <w:pStyle w:val="9"/>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w:t>
            </w:r>
            <w:r>
              <w:rPr>
                <w:rFonts w:hint="eastAsia" w:ascii="宋体" w:hAnsi="宋体" w:eastAsia="宋体" w:cs="宋体"/>
                <w:color w:val="auto"/>
                <w:highlight w:val="none"/>
              </w:rPr>
              <w:t>购买不低于五类、</w:t>
            </w:r>
            <w:r>
              <w:rPr>
                <w:rFonts w:hint="eastAsia" w:ascii="宋体" w:hAnsi="宋体" w:eastAsia="宋体" w:cs="宋体"/>
                <w:color w:val="auto"/>
                <w:highlight w:val="none"/>
                <w:lang w:eastAsia="zh-CN"/>
              </w:rPr>
              <w:t>保额不少于100万元的意外伤亡险</w:t>
            </w:r>
            <w:r>
              <w:rPr>
                <w:rFonts w:hint="eastAsia" w:ascii="宋体" w:hAnsi="宋体" w:eastAsia="宋体" w:cs="宋体"/>
                <w:color w:val="auto"/>
                <w:highlight w:val="none"/>
              </w:rPr>
              <w:t>。</w:t>
            </w:r>
          </w:p>
        </w:tc>
        <w:tc>
          <w:tcPr>
            <w:tcW w:w="1625" w:type="pct"/>
            <w:noWrap w:val="0"/>
            <w:vAlign w:val="center"/>
          </w:tcPr>
          <w:p w14:paraId="1C480D59">
            <w:pPr>
              <w:pStyle w:val="9"/>
              <w:jc w:val="both"/>
              <w:rPr>
                <w:rFonts w:hint="eastAsia" w:ascii="宋体" w:hAnsi="宋体" w:eastAsia="宋体" w:cs="宋体"/>
                <w:color w:val="auto"/>
                <w:highlight w:val="none"/>
                <w:lang w:val="zh-CN"/>
              </w:rPr>
            </w:pPr>
            <w:r>
              <w:rPr>
                <w:rFonts w:hint="eastAsia" w:ascii="宋体" w:hAnsi="宋体" w:eastAsia="宋体" w:cs="宋体"/>
                <w:color w:val="auto"/>
                <w:highlight w:val="none"/>
              </w:rPr>
              <w:t>1、</w:t>
            </w:r>
            <w:r>
              <w:rPr>
                <w:rFonts w:hint="eastAsia" w:ascii="宋体" w:hAnsi="宋体" w:eastAsia="宋体" w:cs="宋体"/>
                <w:color w:val="auto"/>
                <w:highlight w:val="none"/>
                <w:lang w:val="zh-CN"/>
              </w:rPr>
              <w:t>具</w:t>
            </w:r>
            <w:r>
              <w:rPr>
                <w:rFonts w:hint="eastAsia" w:ascii="宋体" w:hAnsi="宋体" w:eastAsia="宋体" w:cs="宋体"/>
                <w:color w:val="auto"/>
                <w:highlight w:val="none"/>
              </w:rPr>
              <w:t>有交通围蔽作业经验，身体状况良好，年龄小于55岁，有较强的安全意识，具备安全防护作业能力，有一定的表达能力、管理能力和应变能力</w:t>
            </w:r>
            <w:r>
              <w:rPr>
                <w:rFonts w:hint="eastAsia" w:ascii="宋体" w:hAnsi="宋体" w:eastAsia="宋体" w:cs="宋体"/>
                <w:color w:val="auto"/>
                <w:highlight w:val="none"/>
                <w:lang w:val="zh-CN"/>
              </w:rPr>
              <w:t>。</w:t>
            </w:r>
          </w:p>
          <w:p w14:paraId="3BBFD585">
            <w:pPr>
              <w:pStyle w:val="9"/>
              <w:jc w:val="both"/>
              <w:rPr>
                <w:rFonts w:hint="eastAsia" w:ascii="宋体" w:hAnsi="宋体" w:eastAsia="宋体" w:cs="宋体"/>
                <w:color w:val="auto"/>
                <w:highlight w:val="none"/>
                <w:lang w:val="zh-CN"/>
              </w:rPr>
            </w:pPr>
            <w:r>
              <w:rPr>
                <w:rFonts w:hint="eastAsia" w:ascii="宋体" w:hAnsi="宋体" w:eastAsia="宋体" w:cs="宋体"/>
                <w:color w:val="auto"/>
                <w:highlight w:val="none"/>
              </w:rPr>
              <w:t>2、现场作业期间</w:t>
            </w:r>
            <w:r>
              <w:rPr>
                <w:rFonts w:hint="eastAsia" w:ascii="宋体" w:hAnsi="宋体" w:eastAsia="宋体" w:cs="宋体"/>
                <w:color w:val="auto"/>
                <w:highlight w:val="none"/>
                <w:lang w:val="zh-CN"/>
              </w:rPr>
              <w:t>佩戴红袖章，</w:t>
            </w:r>
            <w:r>
              <w:rPr>
                <w:rFonts w:hint="eastAsia" w:ascii="宋体" w:hAnsi="宋体" w:eastAsia="宋体" w:cs="宋体"/>
                <w:color w:val="auto"/>
                <w:highlight w:val="none"/>
              </w:rPr>
              <w:t>严格按照《头部防护安全帽》</w:t>
            </w:r>
            <w:r>
              <w:rPr>
                <w:rFonts w:hint="eastAsia" w:ascii="宋体" w:hAnsi="宋体" w:eastAsia="宋体" w:cs="宋体"/>
                <w:color w:val="auto"/>
                <w:highlight w:val="none"/>
                <w:lang w:val="en-US" w:eastAsia="zh-CN"/>
              </w:rPr>
              <w:t>（GB/T30041）</w:t>
            </w:r>
            <w:r>
              <w:rPr>
                <w:rFonts w:hint="eastAsia" w:ascii="宋体" w:hAnsi="宋体" w:eastAsia="宋体" w:cs="宋体"/>
                <w:color w:val="auto"/>
                <w:highlight w:val="none"/>
              </w:rPr>
              <w:t>《安全带》</w:t>
            </w:r>
            <w:r>
              <w:rPr>
                <w:rFonts w:hint="eastAsia" w:ascii="宋体" w:hAnsi="宋体" w:eastAsia="宋体" w:cs="宋体"/>
                <w:color w:val="auto"/>
                <w:highlight w:val="none"/>
                <w:lang w:val="en-US" w:eastAsia="zh-CN"/>
              </w:rPr>
              <w:t>（GB6095）</w:t>
            </w:r>
            <w:r>
              <w:rPr>
                <w:rFonts w:hint="eastAsia" w:ascii="宋体" w:hAnsi="宋体" w:eastAsia="宋体" w:cs="宋体"/>
                <w:color w:val="auto"/>
                <w:highlight w:val="none"/>
              </w:rPr>
              <w:t>等规定使用防护用品，</w:t>
            </w:r>
            <w:r>
              <w:rPr>
                <w:rFonts w:hint="eastAsia" w:ascii="宋体" w:hAnsi="宋体" w:eastAsia="宋体" w:cs="宋体"/>
                <w:color w:val="auto"/>
                <w:highlight w:val="none"/>
                <w:lang w:val="zh-CN"/>
              </w:rPr>
              <w:t>穿着橘红色反光衣，夜间施工时穿着附加警示灯的反光衣。</w:t>
            </w:r>
          </w:p>
          <w:p w14:paraId="71DACA07">
            <w:pPr>
              <w:pStyle w:val="9"/>
              <w:rPr>
                <w:rFonts w:hint="eastAsia" w:ascii="宋体" w:hAnsi="宋体" w:eastAsia="宋体" w:cs="宋体"/>
                <w:color w:val="auto"/>
                <w:highlight w:val="none"/>
              </w:rPr>
            </w:pPr>
          </w:p>
        </w:tc>
        <w:tc>
          <w:tcPr>
            <w:tcW w:w="848" w:type="pct"/>
            <w:vMerge w:val="continue"/>
            <w:noWrap w:val="0"/>
            <w:vAlign w:val="center"/>
          </w:tcPr>
          <w:p w14:paraId="2C4DD02C">
            <w:pPr>
              <w:pStyle w:val="9"/>
              <w:rPr>
                <w:rFonts w:hint="eastAsia" w:ascii="宋体" w:hAnsi="宋体" w:eastAsia="宋体" w:cs="宋体"/>
                <w:color w:val="auto"/>
                <w:highlight w:val="none"/>
              </w:rPr>
            </w:pPr>
          </w:p>
        </w:tc>
      </w:tr>
    </w:tbl>
    <w:p w14:paraId="5A6B2314">
      <w:pPr>
        <w:ind w:firstLine="361"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注：以上为本项目拟投入的人员最低要求，合同履行期间</w:t>
      </w:r>
      <w:r>
        <w:rPr>
          <w:rFonts w:hint="eastAsia" w:ascii="宋体" w:hAnsi="宋体" w:eastAsia="宋体" w:cs="宋体"/>
          <w:b/>
          <w:bCs/>
          <w:sz w:val="18"/>
          <w:szCs w:val="18"/>
          <w:highlight w:val="none"/>
          <w:lang w:eastAsia="zh-CN"/>
        </w:rPr>
        <w:t>成交供应商</w:t>
      </w:r>
      <w:r>
        <w:rPr>
          <w:rFonts w:hint="eastAsia" w:ascii="宋体" w:hAnsi="宋体" w:eastAsia="宋体" w:cs="宋体"/>
          <w:b/>
          <w:bCs/>
          <w:sz w:val="18"/>
          <w:szCs w:val="18"/>
          <w:highlight w:val="none"/>
        </w:rPr>
        <w:t>应根据采购人要求和工程实际进展情况增加人员满足工程需要，并不因此增加费用。提交</w:t>
      </w:r>
      <w:r>
        <w:rPr>
          <w:rFonts w:hint="eastAsia" w:ascii="宋体" w:hAnsi="宋体" w:eastAsia="宋体" w:cs="宋体"/>
          <w:b/>
          <w:bCs/>
          <w:sz w:val="18"/>
          <w:szCs w:val="18"/>
          <w:highlight w:val="none"/>
          <w:lang w:eastAsia="zh-CN"/>
        </w:rPr>
        <w:t>响应文件</w:t>
      </w:r>
      <w:r>
        <w:rPr>
          <w:rFonts w:hint="eastAsia" w:ascii="宋体" w:hAnsi="宋体" w:eastAsia="宋体" w:cs="宋体"/>
          <w:b/>
          <w:bCs/>
          <w:sz w:val="18"/>
          <w:szCs w:val="18"/>
          <w:highlight w:val="none"/>
        </w:rPr>
        <w:t>格式的</w:t>
      </w:r>
      <w:r>
        <w:rPr>
          <w:rFonts w:hint="eastAsia" w:ascii="宋体" w:hAnsi="宋体" w:eastAsia="宋体" w:cs="宋体"/>
          <w:b/>
          <w:bCs/>
          <w:sz w:val="18"/>
          <w:szCs w:val="18"/>
          <w:highlight w:val="none"/>
          <w:lang w:eastAsia="zh-CN"/>
        </w:rPr>
        <w:t>响应函</w:t>
      </w:r>
      <w:r>
        <w:rPr>
          <w:rFonts w:hint="eastAsia" w:ascii="宋体" w:hAnsi="宋体" w:eastAsia="宋体" w:cs="宋体"/>
          <w:b/>
          <w:bCs/>
          <w:sz w:val="18"/>
          <w:szCs w:val="18"/>
          <w:highlight w:val="none"/>
        </w:rPr>
        <w:t>即可，无需提供其它资料。</w:t>
      </w:r>
    </w:p>
    <w:p w14:paraId="206DA0B0">
      <w:pPr>
        <w:pStyle w:val="9"/>
        <w:rPr>
          <w:rFonts w:hint="eastAsia" w:ascii="宋体" w:hAnsi="宋体" w:eastAsia="宋体" w:cs="宋体"/>
          <w:color w:val="auto"/>
          <w:highlight w:val="none"/>
        </w:rPr>
      </w:pPr>
    </w:p>
    <w:p w14:paraId="6BCC685B">
      <w:pPr>
        <w:pStyle w:val="9"/>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br w:type="page"/>
      </w:r>
      <w:r>
        <w:rPr>
          <w:rFonts w:hint="eastAsia" w:ascii="宋体" w:hAnsi="宋体" w:eastAsia="宋体" w:cs="宋体"/>
          <w:b/>
          <w:bCs/>
          <w:color w:val="auto"/>
          <w:highlight w:val="none"/>
        </w:rPr>
        <w:t>附录</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 xml:space="preserve">  资格审查条件（</w:t>
      </w:r>
      <w:r>
        <w:rPr>
          <w:rFonts w:hint="eastAsia" w:ascii="宋体" w:hAnsi="宋体" w:eastAsia="宋体" w:cs="宋体"/>
          <w:b/>
          <w:bCs/>
          <w:color w:val="auto"/>
          <w:highlight w:val="none"/>
          <w:lang w:eastAsia="zh-CN"/>
        </w:rPr>
        <w:t>特种车辆</w:t>
      </w:r>
      <w:r>
        <w:rPr>
          <w:rFonts w:hint="eastAsia" w:ascii="宋体" w:hAnsi="宋体" w:eastAsia="宋体" w:cs="宋体"/>
          <w:b/>
          <w:bCs/>
          <w:color w:val="auto"/>
          <w:highlight w:val="none"/>
        </w:rPr>
        <w:t>最低要求</w:t>
      </w:r>
      <w:r>
        <w:rPr>
          <w:rFonts w:hint="eastAsia" w:ascii="宋体" w:hAnsi="宋体" w:eastAsia="宋体" w:cs="宋体"/>
          <w:b/>
          <w:bCs/>
          <w:color w:val="auto"/>
          <w:highlight w:val="none"/>
          <w:lang w:eastAsia="zh-CN"/>
        </w:rPr>
        <w:t>）</w:t>
      </w:r>
    </w:p>
    <w:tbl>
      <w:tblPr>
        <w:tblStyle w:val="16"/>
        <w:tblW w:w="49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6"/>
        <w:gridCol w:w="2148"/>
        <w:gridCol w:w="812"/>
        <w:gridCol w:w="812"/>
        <w:gridCol w:w="2019"/>
        <w:gridCol w:w="3453"/>
      </w:tblGrid>
      <w:tr w14:paraId="5B5AF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298" w:type="pct"/>
            <w:noWrap w:val="0"/>
            <w:vAlign w:val="center"/>
          </w:tcPr>
          <w:p w14:paraId="40E2FF57">
            <w:pPr>
              <w:pStyle w:val="9"/>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092" w:type="pct"/>
            <w:noWrap w:val="0"/>
            <w:vAlign w:val="center"/>
          </w:tcPr>
          <w:p w14:paraId="3252E676">
            <w:pPr>
              <w:pStyle w:val="9"/>
              <w:rPr>
                <w:rFonts w:hint="eastAsia" w:ascii="宋体" w:hAnsi="宋体" w:eastAsia="宋体" w:cs="宋体"/>
                <w:color w:val="auto"/>
                <w:highlight w:val="none"/>
              </w:rPr>
            </w:pPr>
            <w:r>
              <w:rPr>
                <w:rFonts w:hint="eastAsia" w:ascii="宋体" w:hAnsi="宋体" w:eastAsia="宋体" w:cs="宋体"/>
                <w:color w:val="auto"/>
                <w:highlight w:val="none"/>
              </w:rPr>
              <w:t>车辆类型</w:t>
            </w:r>
          </w:p>
        </w:tc>
        <w:tc>
          <w:tcPr>
            <w:tcW w:w="413" w:type="pct"/>
            <w:noWrap w:val="0"/>
            <w:vAlign w:val="center"/>
          </w:tcPr>
          <w:p w14:paraId="29BF7A53">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w:t>
            </w:r>
          </w:p>
        </w:tc>
        <w:tc>
          <w:tcPr>
            <w:tcW w:w="413" w:type="pct"/>
            <w:noWrap w:val="0"/>
            <w:vAlign w:val="center"/>
          </w:tcPr>
          <w:p w14:paraId="0AE912E0">
            <w:pPr>
              <w:pStyle w:val="9"/>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车辆性能</w:t>
            </w:r>
          </w:p>
        </w:tc>
        <w:tc>
          <w:tcPr>
            <w:tcW w:w="1026" w:type="pct"/>
            <w:noWrap w:val="0"/>
            <w:vAlign w:val="center"/>
          </w:tcPr>
          <w:p w14:paraId="28C2B19A">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型号</w:t>
            </w:r>
          </w:p>
        </w:tc>
        <w:tc>
          <w:tcPr>
            <w:tcW w:w="1755" w:type="pct"/>
            <w:tcBorders>
              <w:left w:val="single" w:color="auto" w:sz="4" w:space="0"/>
            </w:tcBorders>
            <w:noWrap w:val="0"/>
            <w:vAlign w:val="center"/>
          </w:tcPr>
          <w:p w14:paraId="377D8384">
            <w:pPr>
              <w:pStyle w:val="9"/>
              <w:rPr>
                <w:rFonts w:hint="eastAsia" w:ascii="宋体" w:hAnsi="宋体" w:eastAsia="宋体" w:cs="宋体"/>
                <w:color w:val="auto"/>
                <w:highlight w:val="none"/>
              </w:rPr>
            </w:pPr>
            <w:r>
              <w:rPr>
                <w:rFonts w:hint="eastAsia" w:ascii="宋体" w:hAnsi="宋体" w:eastAsia="宋体" w:cs="宋体"/>
                <w:color w:val="auto"/>
                <w:highlight w:val="none"/>
                <w:lang w:eastAsia="zh-CN"/>
              </w:rPr>
              <w:t>备注</w:t>
            </w:r>
          </w:p>
        </w:tc>
      </w:tr>
      <w:tr w14:paraId="0C2EA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298" w:type="pct"/>
            <w:noWrap w:val="0"/>
            <w:vAlign w:val="center"/>
          </w:tcPr>
          <w:p w14:paraId="23CCC488">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92" w:type="pct"/>
            <w:noWrap w:val="0"/>
            <w:vAlign w:val="center"/>
          </w:tcPr>
          <w:p w14:paraId="410E8B7A">
            <w:pPr>
              <w:pStyle w:val="9"/>
              <w:ind w:left="0" w:leftChars="0" w:right="0" w:righ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桁架式桥梁检测车</w:t>
            </w:r>
          </w:p>
        </w:tc>
        <w:tc>
          <w:tcPr>
            <w:tcW w:w="413" w:type="pct"/>
            <w:noWrap w:val="0"/>
            <w:vAlign w:val="center"/>
          </w:tcPr>
          <w:p w14:paraId="1D155E3E">
            <w:pPr>
              <w:pStyle w:val="9"/>
              <w:ind w:left="0" w:leftChars="0" w:right="0" w:righ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413" w:type="pct"/>
            <w:vMerge w:val="restart"/>
            <w:noWrap w:val="0"/>
            <w:vAlign w:val="center"/>
          </w:tcPr>
          <w:p w14:paraId="63415CD6">
            <w:pPr>
              <w:pStyle w:val="9"/>
              <w:ind w:left="0" w:leftChars="0" w:right="0" w:rightChars="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车况良好、性能稳定</w:t>
            </w:r>
          </w:p>
        </w:tc>
        <w:tc>
          <w:tcPr>
            <w:tcW w:w="1026" w:type="pct"/>
            <w:noWrap w:val="0"/>
            <w:vAlign w:val="center"/>
          </w:tcPr>
          <w:p w14:paraId="461FE33C">
            <w:pPr>
              <w:pStyle w:val="9"/>
              <w:ind w:left="0" w:leftChars="0" w:right="0" w:rightChars="0" w:firstLine="0" w:firstLineChars="0"/>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检测平台不小于20米</w:t>
            </w:r>
          </w:p>
        </w:tc>
        <w:tc>
          <w:tcPr>
            <w:tcW w:w="1755" w:type="pct"/>
            <w:vMerge w:val="restart"/>
            <w:tcBorders>
              <w:left w:val="single" w:color="auto" w:sz="4" w:space="0"/>
            </w:tcBorders>
            <w:noWrap w:val="0"/>
            <w:vAlign w:val="center"/>
          </w:tcPr>
          <w:p w14:paraId="747336AF">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含司机，车辆须购买交强险和100万元以上的第三者责任险，司机须购买不低于五类、保额不少于100万元的意外伤亡险，并在有效期内</w:t>
            </w:r>
          </w:p>
        </w:tc>
      </w:tr>
      <w:tr w14:paraId="67DD1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298" w:type="pct"/>
            <w:noWrap w:val="0"/>
            <w:vAlign w:val="center"/>
          </w:tcPr>
          <w:p w14:paraId="2DEA3F2E">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092" w:type="pct"/>
            <w:noWrap w:val="0"/>
            <w:vAlign w:val="center"/>
          </w:tcPr>
          <w:p w14:paraId="66D83937">
            <w:pPr>
              <w:pStyle w:val="9"/>
              <w:rPr>
                <w:rFonts w:hint="eastAsia" w:ascii="宋体" w:hAnsi="宋体" w:eastAsia="宋体" w:cs="宋体"/>
                <w:color w:val="auto"/>
                <w:highlight w:val="none"/>
              </w:rPr>
            </w:pPr>
            <w:r>
              <w:rPr>
                <w:rFonts w:hint="eastAsia" w:ascii="宋体" w:hAnsi="宋体" w:eastAsia="宋体" w:cs="宋体"/>
                <w:color w:val="auto"/>
                <w:highlight w:val="none"/>
              </w:rPr>
              <w:t>桁架式桥梁检测车</w:t>
            </w:r>
          </w:p>
        </w:tc>
        <w:tc>
          <w:tcPr>
            <w:tcW w:w="413" w:type="pct"/>
            <w:noWrap w:val="0"/>
            <w:vAlign w:val="center"/>
          </w:tcPr>
          <w:p w14:paraId="23C6E9F0">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1台</w:t>
            </w:r>
          </w:p>
        </w:tc>
        <w:tc>
          <w:tcPr>
            <w:tcW w:w="413" w:type="pct"/>
            <w:vMerge w:val="continue"/>
            <w:noWrap w:val="0"/>
            <w:vAlign w:val="center"/>
          </w:tcPr>
          <w:p w14:paraId="1B4E2E3E">
            <w:pPr>
              <w:pStyle w:val="9"/>
              <w:rPr>
                <w:rFonts w:hint="eastAsia" w:ascii="宋体" w:hAnsi="宋体" w:eastAsia="宋体" w:cs="宋体"/>
                <w:color w:val="auto"/>
                <w:highlight w:val="none"/>
              </w:rPr>
            </w:pPr>
          </w:p>
        </w:tc>
        <w:tc>
          <w:tcPr>
            <w:tcW w:w="1026" w:type="pct"/>
            <w:noWrap w:val="0"/>
            <w:vAlign w:val="center"/>
          </w:tcPr>
          <w:p w14:paraId="021173C6">
            <w:pPr>
              <w:pStyle w:val="9"/>
              <w:rPr>
                <w:rFonts w:hint="eastAsia" w:ascii="宋体" w:hAnsi="宋体" w:eastAsia="宋体" w:cs="宋体"/>
                <w:color w:val="auto"/>
                <w:highlight w:val="none"/>
              </w:rPr>
            </w:pPr>
            <w:r>
              <w:rPr>
                <w:rFonts w:hint="eastAsia" w:ascii="宋体" w:hAnsi="宋体" w:eastAsia="宋体" w:cs="宋体"/>
                <w:i w:val="0"/>
                <w:iCs w:val="0"/>
                <w:color w:val="000000"/>
                <w:kern w:val="0"/>
                <w:sz w:val="21"/>
                <w:szCs w:val="21"/>
                <w:highlight w:val="none"/>
                <w:u w:val="none"/>
                <w:lang w:val="en-US" w:eastAsia="zh-CN" w:bidi="ar"/>
              </w:rPr>
              <w:t>检测平台小于20米</w:t>
            </w:r>
          </w:p>
        </w:tc>
        <w:tc>
          <w:tcPr>
            <w:tcW w:w="1755" w:type="pct"/>
            <w:vMerge w:val="continue"/>
            <w:tcBorders>
              <w:left w:val="single" w:color="auto" w:sz="4" w:space="0"/>
            </w:tcBorders>
            <w:noWrap w:val="0"/>
            <w:vAlign w:val="center"/>
          </w:tcPr>
          <w:p w14:paraId="04B1C772">
            <w:pPr>
              <w:pStyle w:val="9"/>
              <w:rPr>
                <w:rFonts w:hint="eastAsia" w:ascii="宋体" w:hAnsi="宋体" w:eastAsia="宋体" w:cs="宋体"/>
                <w:color w:val="auto"/>
                <w:highlight w:val="none"/>
              </w:rPr>
            </w:pPr>
          </w:p>
        </w:tc>
      </w:tr>
      <w:tr w14:paraId="41DEC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298" w:type="pct"/>
            <w:noWrap w:val="0"/>
            <w:vAlign w:val="center"/>
          </w:tcPr>
          <w:p w14:paraId="03BF3993">
            <w:pPr>
              <w:pStyle w:val="9"/>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092" w:type="pct"/>
            <w:noWrap w:val="0"/>
            <w:vAlign w:val="center"/>
          </w:tcPr>
          <w:p w14:paraId="1C7412AD">
            <w:pPr>
              <w:pStyle w:val="9"/>
              <w:rPr>
                <w:rFonts w:hint="eastAsia" w:ascii="宋体" w:hAnsi="宋体" w:eastAsia="宋体" w:cs="宋体"/>
                <w:color w:val="auto"/>
                <w:highlight w:val="none"/>
              </w:rPr>
            </w:pPr>
            <w:r>
              <w:rPr>
                <w:rFonts w:hint="eastAsia" w:ascii="宋体" w:hAnsi="宋体" w:eastAsia="宋体" w:cs="宋体"/>
                <w:color w:val="auto"/>
                <w:highlight w:val="none"/>
              </w:rPr>
              <w:t>曲臂式桥梁检测车</w:t>
            </w:r>
          </w:p>
        </w:tc>
        <w:tc>
          <w:tcPr>
            <w:tcW w:w="413" w:type="pct"/>
            <w:noWrap w:val="0"/>
            <w:vAlign w:val="center"/>
          </w:tcPr>
          <w:p w14:paraId="200CCD6A">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1台</w:t>
            </w:r>
          </w:p>
        </w:tc>
        <w:tc>
          <w:tcPr>
            <w:tcW w:w="413" w:type="pct"/>
            <w:vMerge w:val="continue"/>
            <w:noWrap w:val="0"/>
            <w:vAlign w:val="center"/>
          </w:tcPr>
          <w:p w14:paraId="29355BF2">
            <w:pPr>
              <w:pStyle w:val="9"/>
              <w:rPr>
                <w:rFonts w:hint="eastAsia" w:ascii="宋体" w:hAnsi="宋体" w:eastAsia="宋体" w:cs="宋体"/>
                <w:color w:val="auto"/>
                <w:highlight w:val="none"/>
              </w:rPr>
            </w:pPr>
          </w:p>
        </w:tc>
        <w:tc>
          <w:tcPr>
            <w:tcW w:w="1026" w:type="pct"/>
            <w:noWrap w:val="0"/>
            <w:vAlign w:val="center"/>
          </w:tcPr>
          <w:p w14:paraId="5F31DB79">
            <w:pPr>
              <w:pStyle w:val="9"/>
              <w:rPr>
                <w:rFonts w:hint="eastAsia" w:ascii="宋体" w:hAnsi="宋体" w:eastAsia="宋体" w:cs="宋体"/>
                <w:color w:val="auto"/>
                <w:highlight w:val="none"/>
              </w:rPr>
            </w:pPr>
            <w:r>
              <w:rPr>
                <w:rFonts w:hint="eastAsia" w:ascii="宋体" w:hAnsi="宋体" w:eastAsia="宋体" w:cs="宋体"/>
                <w:color w:val="auto"/>
                <w:highlight w:val="none"/>
              </w:rPr>
              <w:t>跨越人行道、隔音墙</w:t>
            </w:r>
          </w:p>
        </w:tc>
        <w:tc>
          <w:tcPr>
            <w:tcW w:w="1755" w:type="pct"/>
            <w:vMerge w:val="continue"/>
            <w:tcBorders>
              <w:left w:val="single" w:color="auto" w:sz="4" w:space="0"/>
            </w:tcBorders>
            <w:noWrap w:val="0"/>
            <w:vAlign w:val="center"/>
          </w:tcPr>
          <w:p w14:paraId="16C1106B">
            <w:pPr>
              <w:pStyle w:val="9"/>
              <w:rPr>
                <w:rFonts w:hint="eastAsia" w:ascii="宋体" w:hAnsi="宋体" w:eastAsia="宋体" w:cs="宋体"/>
                <w:color w:val="auto"/>
                <w:highlight w:val="none"/>
              </w:rPr>
            </w:pPr>
          </w:p>
        </w:tc>
      </w:tr>
      <w:tr w14:paraId="5057A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298" w:type="pct"/>
            <w:noWrap w:val="0"/>
            <w:vAlign w:val="center"/>
          </w:tcPr>
          <w:p w14:paraId="165A0589">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4</w:t>
            </w:r>
          </w:p>
        </w:tc>
        <w:tc>
          <w:tcPr>
            <w:tcW w:w="1092" w:type="pct"/>
            <w:noWrap w:val="0"/>
            <w:vAlign w:val="center"/>
          </w:tcPr>
          <w:p w14:paraId="20659EDF">
            <w:pPr>
              <w:pStyle w:val="9"/>
              <w:rPr>
                <w:rFonts w:hint="eastAsia" w:ascii="宋体" w:hAnsi="宋体" w:eastAsia="宋体" w:cs="宋体"/>
                <w:color w:val="auto"/>
                <w:highlight w:val="none"/>
              </w:rPr>
            </w:pPr>
            <w:r>
              <w:rPr>
                <w:rFonts w:hint="eastAsia" w:ascii="宋体" w:hAnsi="宋体" w:eastAsia="宋体" w:cs="宋体"/>
                <w:color w:val="auto"/>
                <w:highlight w:val="none"/>
                <w:lang w:eastAsia="zh-CN"/>
              </w:rPr>
              <w:t>高空车</w:t>
            </w:r>
          </w:p>
        </w:tc>
        <w:tc>
          <w:tcPr>
            <w:tcW w:w="413" w:type="pct"/>
            <w:noWrap w:val="0"/>
            <w:vAlign w:val="center"/>
          </w:tcPr>
          <w:p w14:paraId="08A90E87">
            <w:pPr>
              <w:pStyle w:val="9"/>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1台</w:t>
            </w:r>
          </w:p>
        </w:tc>
        <w:tc>
          <w:tcPr>
            <w:tcW w:w="413" w:type="pct"/>
            <w:vMerge w:val="continue"/>
            <w:noWrap w:val="0"/>
            <w:vAlign w:val="center"/>
          </w:tcPr>
          <w:p w14:paraId="64E769C1">
            <w:pPr>
              <w:pStyle w:val="9"/>
              <w:rPr>
                <w:rFonts w:hint="eastAsia" w:ascii="宋体" w:hAnsi="宋体" w:eastAsia="宋体" w:cs="宋体"/>
                <w:color w:val="auto"/>
                <w:highlight w:val="none"/>
              </w:rPr>
            </w:pPr>
          </w:p>
        </w:tc>
        <w:tc>
          <w:tcPr>
            <w:tcW w:w="1026" w:type="pct"/>
            <w:noWrap w:val="0"/>
            <w:vAlign w:val="center"/>
          </w:tcPr>
          <w:p w14:paraId="4E79E08A">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16m</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臂架长度</w:t>
            </w:r>
          </w:p>
        </w:tc>
        <w:tc>
          <w:tcPr>
            <w:tcW w:w="1755" w:type="pct"/>
            <w:vMerge w:val="continue"/>
            <w:tcBorders>
              <w:left w:val="single" w:color="auto" w:sz="4" w:space="0"/>
            </w:tcBorders>
            <w:noWrap w:val="0"/>
            <w:vAlign w:val="center"/>
          </w:tcPr>
          <w:p w14:paraId="55F6B46B">
            <w:pPr>
              <w:pStyle w:val="9"/>
              <w:rPr>
                <w:rFonts w:hint="eastAsia" w:ascii="宋体" w:hAnsi="宋体" w:eastAsia="宋体" w:cs="宋体"/>
                <w:color w:val="auto"/>
                <w:highlight w:val="none"/>
              </w:rPr>
            </w:pPr>
          </w:p>
        </w:tc>
      </w:tr>
      <w:tr w14:paraId="2AD0B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98" w:type="pct"/>
            <w:noWrap w:val="0"/>
            <w:vAlign w:val="center"/>
          </w:tcPr>
          <w:p w14:paraId="7563622D">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5</w:t>
            </w:r>
          </w:p>
        </w:tc>
        <w:tc>
          <w:tcPr>
            <w:tcW w:w="1092" w:type="pct"/>
            <w:noWrap w:val="0"/>
            <w:vAlign w:val="center"/>
          </w:tcPr>
          <w:p w14:paraId="1D7C672D">
            <w:pPr>
              <w:pStyle w:val="9"/>
              <w:rPr>
                <w:rFonts w:hint="eastAsia" w:ascii="宋体" w:hAnsi="宋体" w:eastAsia="宋体" w:cs="宋体"/>
                <w:color w:val="auto"/>
                <w:highlight w:val="none"/>
              </w:rPr>
            </w:pPr>
            <w:r>
              <w:rPr>
                <w:rFonts w:hint="eastAsia" w:ascii="宋体" w:hAnsi="宋体" w:eastAsia="宋体" w:cs="宋体"/>
                <w:color w:val="auto"/>
                <w:highlight w:val="none"/>
              </w:rPr>
              <w:t>防撞缓冲车</w:t>
            </w:r>
          </w:p>
        </w:tc>
        <w:tc>
          <w:tcPr>
            <w:tcW w:w="413" w:type="pct"/>
            <w:noWrap w:val="0"/>
            <w:vAlign w:val="center"/>
          </w:tcPr>
          <w:p w14:paraId="25217232">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1台</w:t>
            </w:r>
          </w:p>
        </w:tc>
        <w:tc>
          <w:tcPr>
            <w:tcW w:w="413" w:type="pct"/>
            <w:vMerge w:val="continue"/>
            <w:noWrap w:val="0"/>
            <w:vAlign w:val="center"/>
          </w:tcPr>
          <w:p w14:paraId="4BB42117">
            <w:pPr>
              <w:pStyle w:val="9"/>
              <w:rPr>
                <w:rFonts w:hint="eastAsia" w:ascii="宋体" w:hAnsi="宋体" w:eastAsia="宋体" w:cs="宋体"/>
                <w:color w:val="auto"/>
                <w:highlight w:val="none"/>
              </w:rPr>
            </w:pPr>
          </w:p>
        </w:tc>
        <w:tc>
          <w:tcPr>
            <w:tcW w:w="1026" w:type="pct"/>
            <w:noWrap w:val="0"/>
            <w:vAlign w:val="center"/>
          </w:tcPr>
          <w:p w14:paraId="25E471CA">
            <w:pPr>
              <w:pStyle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70-80K</w:t>
            </w:r>
          </w:p>
        </w:tc>
        <w:tc>
          <w:tcPr>
            <w:tcW w:w="1755" w:type="pct"/>
            <w:vMerge w:val="restart"/>
            <w:tcBorders>
              <w:left w:val="single" w:color="auto" w:sz="4" w:space="0"/>
            </w:tcBorders>
            <w:noWrap w:val="0"/>
            <w:vAlign w:val="center"/>
          </w:tcPr>
          <w:p w14:paraId="73611370">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含司机，已配备警示频闪灯、可变箭头信号灯和高声提醒装置，</w:t>
            </w:r>
            <w:r>
              <w:rPr>
                <w:rFonts w:hint="eastAsia" w:ascii="宋体" w:hAnsi="宋体" w:eastAsia="宋体" w:cs="宋体"/>
                <w:color w:val="auto"/>
                <w:highlight w:val="none"/>
                <w:lang w:val="zh-CN"/>
              </w:rPr>
              <w:t>（</w:t>
            </w:r>
            <w:r>
              <w:rPr>
                <w:rFonts w:hint="eastAsia" w:ascii="宋体" w:hAnsi="宋体" w:eastAsia="宋体" w:cs="宋体"/>
                <w:color w:val="auto"/>
                <w:highlight w:val="none"/>
                <w:lang w:val="en-US" w:eastAsia="zh-CN"/>
              </w:rPr>
              <w:t>防撞缓冲车须购买交强险和100万元以上的第三者责任险，司机须购买不低于五类、保额不少于100万元的意外伤亡险，并在有效期内</w:t>
            </w:r>
            <w:r>
              <w:rPr>
                <w:rFonts w:hint="eastAsia" w:ascii="宋体" w:hAnsi="宋体" w:eastAsia="宋体" w:cs="宋体"/>
                <w:color w:val="auto"/>
                <w:highlight w:val="none"/>
                <w:lang w:val="zh-CN"/>
              </w:rPr>
              <w:t>）</w:t>
            </w:r>
          </w:p>
        </w:tc>
      </w:tr>
      <w:tr w14:paraId="6227A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298" w:type="pct"/>
            <w:noWrap w:val="0"/>
            <w:vAlign w:val="center"/>
          </w:tcPr>
          <w:p w14:paraId="3A368564">
            <w:pPr>
              <w:pStyle w:val="9"/>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1092" w:type="pct"/>
            <w:noWrap w:val="0"/>
            <w:vAlign w:val="center"/>
          </w:tcPr>
          <w:p w14:paraId="79737523">
            <w:pPr>
              <w:pStyle w:val="9"/>
              <w:rPr>
                <w:rFonts w:hint="eastAsia" w:ascii="宋体" w:hAnsi="宋体" w:eastAsia="宋体" w:cs="宋体"/>
                <w:color w:val="auto"/>
                <w:highlight w:val="none"/>
              </w:rPr>
            </w:pPr>
            <w:r>
              <w:rPr>
                <w:rFonts w:hint="eastAsia" w:ascii="宋体" w:hAnsi="宋体" w:eastAsia="宋体" w:cs="宋体"/>
                <w:color w:val="auto"/>
                <w:highlight w:val="none"/>
              </w:rPr>
              <w:t>防撞缓冲车</w:t>
            </w:r>
          </w:p>
        </w:tc>
        <w:tc>
          <w:tcPr>
            <w:tcW w:w="413" w:type="pct"/>
            <w:noWrap w:val="0"/>
            <w:vAlign w:val="center"/>
          </w:tcPr>
          <w:p w14:paraId="36D349D7">
            <w:pPr>
              <w:pStyle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1台</w:t>
            </w:r>
          </w:p>
        </w:tc>
        <w:tc>
          <w:tcPr>
            <w:tcW w:w="413" w:type="pct"/>
            <w:vMerge w:val="continue"/>
            <w:noWrap w:val="0"/>
            <w:vAlign w:val="center"/>
          </w:tcPr>
          <w:p w14:paraId="23FC51C4">
            <w:pPr>
              <w:pStyle w:val="9"/>
              <w:rPr>
                <w:rFonts w:hint="eastAsia" w:ascii="宋体" w:hAnsi="宋体" w:eastAsia="宋体" w:cs="宋体"/>
                <w:color w:val="auto"/>
                <w:highlight w:val="none"/>
              </w:rPr>
            </w:pPr>
          </w:p>
        </w:tc>
        <w:tc>
          <w:tcPr>
            <w:tcW w:w="1026" w:type="pct"/>
            <w:noWrap w:val="0"/>
            <w:vAlign w:val="center"/>
          </w:tcPr>
          <w:p w14:paraId="2C44D160">
            <w:pPr>
              <w:pStyle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100K</w:t>
            </w:r>
          </w:p>
        </w:tc>
        <w:tc>
          <w:tcPr>
            <w:tcW w:w="1755" w:type="pct"/>
            <w:vMerge w:val="continue"/>
            <w:tcBorders>
              <w:left w:val="single" w:color="auto" w:sz="4" w:space="0"/>
            </w:tcBorders>
            <w:noWrap w:val="0"/>
            <w:vAlign w:val="center"/>
          </w:tcPr>
          <w:p w14:paraId="62436883">
            <w:pPr>
              <w:pStyle w:val="9"/>
              <w:rPr>
                <w:rFonts w:hint="eastAsia" w:ascii="宋体" w:hAnsi="宋体" w:eastAsia="宋体" w:cs="宋体"/>
                <w:color w:val="auto"/>
                <w:highlight w:val="none"/>
              </w:rPr>
            </w:pPr>
          </w:p>
        </w:tc>
      </w:tr>
      <w:tr w14:paraId="385F9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298" w:type="pct"/>
            <w:noWrap w:val="0"/>
            <w:vAlign w:val="center"/>
          </w:tcPr>
          <w:p w14:paraId="210AD9CA">
            <w:pPr>
              <w:pStyle w:val="9"/>
              <w:ind w:left="0" w:leftChars="0" w:right="0" w:righ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1092" w:type="pct"/>
            <w:noWrap w:val="0"/>
            <w:vAlign w:val="center"/>
          </w:tcPr>
          <w:p w14:paraId="0FF79F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皮卡车</w:t>
            </w:r>
          </w:p>
        </w:tc>
        <w:tc>
          <w:tcPr>
            <w:tcW w:w="413" w:type="pct"/>
            <w:noWrap w:val="0"/>
            <w:vAlign w:val="center"/>
          </w:tcPr>
          <w:p w14:paraId="7AAD26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highlight w:val="none"/>
                <w:lang w:val="en-US" w:eastAsia="zh-CN"/>
              </w:rPr>
              <w:t>1台</w:t>
            </w:r>
          </w:p>
        </w:tc>
        <w:tc>
          <w:tcPr>
            <w:tcW w:w="413" w:type="pct"/>
            <w:vMerge w:val="continue"/>
            <w:noWrap w:val="0"/>
            <w:vAlign w:val="center"/>
          </w:tcPr>
          <w:p w14:paraId="7CFD10D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1"/>
                <w:szCs w:val="21"/>
                <w:highlight w:val="none"/>
              </w:rPr>
            </w:pPr>
          </w:p>
        </w:tc>
        <w:tc>
          <w:tcPr>
            <w:tcW w:w="1026" w:type="pct"/>
            <w:noWrap w:val="0"/>
            <w:vAlign w:val="center"/>
          </w:tcPr>
          <w:p w14:paraId="69FDF9E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四座</w:t>
            </w:r>
          </w:p>
        </w:tc>
        <w:tc>
          <w:tcPr>
            <w:tcW w:w="1755" w:type="pct"/>
            <w:tcBorders>
              <w:left w:val="single" w:color="auto" w:sz="4" w:space="0"/>
            </w:tcBorders>
            <w:noWrap w:val="0"/>
            <w:vAlign w:val="center"/>
          </w:tcPr>
          <w:p w14:paraId="095F986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bCs/>
                <w:kern w:val="21"/>
                <w:sz w:val="21"/>
                <w:szCs w:val="21"/>
                <w:highlight w:val="none"/>
                <w:lang w:val="en-US" w:eastAsia="zh-CN"/>
              </w:rPr>
            </w:pPr>
            <w:r>
              <w:rPr>
                <w:rFonts w:hint="eastAsia" w:ascii="宋体" w:hAnsi="宋体" w:eastAsia="宋体" w:cs="宋体"/>
                <w:color w:val="auto"/>
                <w:highlight w:val="none"/>
                <w:lang w:val="en-US" w:eastAsia="zh-CN"/>
              </w:rPr>
              <w:t>含司机，已配备警示频闪灯、可变箭头信号灯，</w:t>
            </w:r>
            <w:r>
              <w:rPr>
                <w:rFonts w:hint="eastAsia" w:ascii="宋体" w:hAnsi="宋体" w:eastAsia="宋体" w:cs="宋体"/>
                <w:color w:val="auto"/>
                <w:highlight w:val="none"/>
                <w:lang w:val="zh-CN"/>
              </w:rPr>
              <w:t>（</w:t>
            </w:r>
            <w:r>
              <w:rPr>
                <w:rFonts w:hint="eastAsia" w:ascii="宋体" w:hAnsi="宋体" w:eastAsia="宋体" w:cs="宋体"/>
                <w:color w:val="auto"/>
                <w:highlight w:val="none"/>
                <w:lang w:val="en-US" w:eastAsia="zh-CN"/>
              </w:rPr>
              <w:t>皮卡车须购买交强险和100万元以上的第三者责任险，司机须购买不低于五类、保额不少于100万元的意外伤亡险，并在有效期内</w:t>
            </w:r>
            <w:r>
              <w:rPr>
                <w:rFonts w:hint="eastAsia" w:ascii="宋体" w:hAnsi="宋体" w:eastAsia="宋体" w:cs="宋体"/>
                <w:color w:val="auto"/>
                <w:highlight w:val="none"/>
                <w:lang w:val="zh-CN"/>
              </w:rPr>
              <w:t>）</w:t>
            </w:r>
          </w:p>
        </w:tc>
      </w:tr>
    </w:tbl>
    <w:p w14:paraId="6B188657">
      <w:pP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注：合同履行期间</w:t>
      </w:r>
      <w:r>
        <w:rPr>
          <w:rFonts w:hint="eastAsia" w:ascii="宋体" w:hAnsi="宋体" w:eastAsia="宋体" w:cs="宋体"/>
          <w:b/>
          <w:bCs/>
          <w:sz w:val="18"/>
          <w:szCs w:val="18"/>
          <w:highlight w:val="none"/>
          <w:lang w:eastAsia="zh-CN"/>
        </w:rPr>
        <w:t>成交供应商</w:t>
      </w:r>
      <w:r>
        <w:rPr>
          <w:rFonts w:hint="eastAsia" w:ascii="宋体" w:hAnsi="宋体" w:eastAsia="宋体" w:cs="宋体"/>
          <w:b/>
          <w:bCs/>
          <w:sz w:val="18"/>
          <w:szCs w:val="18"/>
          <w:highlight w:val="none"/>
        </w:rPr>
        <w:t>应根据采购人要求和工程实际进展情况增加设备满足工程需要，并不因此增加费用，提交响应文件格式的</w:t>
      </w:r>
      <w:r>
        <w:rPr>
          <w:rFonts w:hint="eastAsia" w:ascii="宋体" w:hAnsi="宋体" w:eastAsia="宋体" w:cs="宋体"/>
          <w:b/>
          <w:bCs/>
          <w:sz w:val="18"/>
          <w:szCs w:val="18"/>
          <w:highlight w:val="none"/>
          <w:lang w:eastAsia="zh-CN"/>
        </w:rPr>
        <w:t>响应</w:t>
      </w:r>
      <w:r>
        <w:rPr>
          <w:rFonts w:hint="eastAsia" w:ascii="宋体" w:hAnsi="宋体" w:eastAsia="宋体" w:cs="宋体"/>
          <w:b/>
          <w:bCs/>
          <w:sz w:val="18"/>
          <w:szCs w:val="18"/>
          <w:highlight w:val="none"/>
          <w:lang w:val="en-US" w:eastAsia="zh-CN"/>
        </w:rPr>
        <w:t>承诺</w:t>
      </w:r>
      <w:r>
        <w:rPr>
          <w:rFonts w:hint="eastAsia" w:ascii="宋体" w:hAnsi="宋体" w:eastAsia="宋体" w:cs="宋体"/>
          <w:b/>
          <w:bCs/>
          <w:sz w:val="18"/>
          <w:szCs w:val="18"/>
          <w:highlight w:val="none"/>
          <w:lang w:eastAsia="zh-CN"/>
        </w:rPr>
        <w:t>函</w:t>
      </w:r>
      <w:r>
        <w:rPr>
          <w:rFonts w:hint="eastAsia" w:ascii="宋体" w:hAnsi="宋体" w:eastAsia="宋体" w:cs="宋体"/>
          <w:b/>
          <w:bCs/>
          <w:sz w:val="18"/>
          <w:szCs w:val="18"/>
          <w:highlight w:val="none"/>
        </w:rPr>
        <w:t>即可，无需提供其它资料。</w:t>
      </w:r>
    </w:p>
    <w:bookmarkEnd w:id="0"/>
    <w:p w14:paraId="32EB757F">
      <w:pPr>
        <w:spacing w:line="360" w:lineRule="auto"/>
        <w:ind w:firstLine="480" w:firstLineChars="200"/>
        <w:rPr>
          <w:rFonts w:hint="eastAsia" w:ascii="宋体" w:hAnsi="宋体" w:eastAsia="宋体" w:cs="宋体"/>
          <w:sz w:val="24"/>
          <w:highlight w:val="none"/>
        </w:rPr>
      </w:pP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491017"/>
      <w:docPartObj>
        <w:docPartGallery w:val="autotext"/>
      </w:docPartObj>
    </w:sdtPr>
    <w:sdtContent>
      <w:p w14:paraId="249B3241">
        <w:pPr>
          <w:pStyle w:val="11"/>
          <w:jc w:val="center"/>
        </w:pPr>
        <w:r>
          <w:fldChar w:fldCharType="begin"/>
        </w:r>
        <w:r>
          <w:instrText xml:space="preserve">PAGE   \* MERGEFORMAT</w:instrText>
        </w:r>
        <w:r>
          <w:fldChar w:fldCharType="separate"/>
        </w:r>
        <w:r>
          <w:rPr>
            <w:lang w:val="zh-CN"/>
          </w:rPr>
          <w:t>2</w:t>
        </w:r>
        <w:r>
          <w:fldChar w:fldCharType="end"/>
        </w:r>
      </w:p>
    </w:sdtContent>
  </w:sdt>
  <w:p w14:paraId="0887EE4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1AC43">
    <w:pPr>
      <w:pStyle w:val="12"/>
      <w:pBdr>
        <w:bottom w:val="none" w:color="auto" w:sz="0" w:space="1"/>
      </w:pBdr>
      <w:jc w:val="left"/>
    </w:pP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53564"/>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A8E365F"/>
    <w:rsid w:val="0B042E00"/>
    <w:rsid w:val="0B0C4420"/>
    <w:rsid w:val="0C4534C7"/>
    <w:rsid w:val="0D4E726C"/>
    <w:rsid w:val="0D7C0506"/>
    <w:rsid w:val="0D9F0A1E"/>
    <w:rsid w:val="0E254DAD"/>
    <w:rsid w:val="0ED00D7B"/>
    <w:rsid w:val="0EF867DF"/>
    <w:rsid w:val="0F124B87"/>
    <w:rsid w:val="10100F06"/>
    <w:rsid w:val="10A9199B"/>
    <w:rsid w:val="115F2840"/>
    <w:rsid w:val="12D47AC8"/>
    <w:rsid w:val="14060891"/>
    <w:rsid w:val="144423B1"/>
    <w:rsid w:val="167A3002"/>
    <w:rsid w:val="182F35AB"/>
    <w:rsid w:val="18D34686"/>
    <w:rsid w:val="19443AF1"/>
    <w:rsid w:val="19A85F8E"/>
    <w:rsid w:val="19F63627"/>
    <w:rsid w:val="1A415745"/>
    <w:rsid w:val="1BA252C2"/>
    <w:rsid w:val="1BA819BA"/>
    <w:rsid w:val="1C5364AE"/>
    <w:rsid w:val="1CB31D94"/>
    <w:rsid w:val="221E7789"/>
    <w:rsid w:val="227948DB"/>
    <w:rsid w:val="238F739C"/>
    <w:rsid w:val="23DD4609"/>
    <w:rsid w:val="240138EA"/>
    <w:rsid w:val="2409031A"/>
    <w:rsid w:val="24B22AAA"/>
    <w:rsid w:val="26881B2A"/>
    <w:rsid w:val="26902369"/>
    <w:rsid w:val="279C5AFD"/>
    <w:rsid w:val="2B3E7CC3"/>
    <w:rsid w:val="2C82036D"/>
    <w:rsid w:val="2CF66D06"/>
    <w:rsid w:val="2CF86F1C"/>
    <w:rsid w:val="2DA96076"/>
    <w:rsid w:val="30464E78"/>
    <w:rsid w:val="33D05E16"/>
    <w:rsid w:val="3439473C"/>
    <w:rsid w:val="35A87042"/>
    <w:rsid w:val="36783C2C"/>
    <w:rsid w:val="36975CCA"/>
    <w:rsid w:val="36EB2FEA"/>
    <w:rsid w:val="3702286B"/>
    <w:rsid w:val="38141215"/>
    <w:rsid w:val="39894C79"/>
    <w:rsid w:val="3A4E0707"/>
    <w:rsid w:val="3A765820"/>
    <w:rsid w:val="3AC53CA3"/>
    <w:rsid w:val="3B9C5ACB"/>
    <w:rsid w:val="3D3114F1"/>
    <w:rsid w:val="3DB72FC9"/>
    <w:rsid w:val="3FBC6EAF"/>
    <w:rsid w:val="3FFB2686"/>
    <w:rsid w:val="40A14D65"/>
    <w:rsid w:val="443638AA"/>
    <w:rsid w:val="445D1683"/>
    <w:rsid w:val="44CD5731"/>
    <w:rsid w:val="44EC1D9B"/>
    <w:rsid w:val="45184A87"/>
    <w:rsid w:val="4523074F"/>
    <w:rsid w:val="45D93CF8"/>
    <w:rsid w:val="46B41679"/>
    <w:rsid w:val="46EC4E76"/>
    <w:rsid w:val="474E4E09"/>
    <w:rsid w:val="47D35F82"/>
    <w:rsid w:val="49CA7457"/>
    <w:rsid w:val="4B4C2876"/>
    <w:rsid w:val="4BAC6333"/>
    <w:rsid w:val="4C87311D"/>
    <w:rsid w:val="4E1A59EE"/>
    <w:rsid w:val="4E4361B3"/>
    <w:rsid w:val="4EDA586A"/>
    <w:rsid w:val="4EDE091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6EE2E85"/>
    <w:rsid w:val="67687AE2"/>
    <w:rsid w:val="679A31FF"/>
    <w:rsid w:val="67B4296E"/>
    <w:rsid w:val="689B6077"/>
    <w:rsid w:val="68C90870"/>
    <w:rsid w:val="6AE575F3"/>
    <w:rsid w:val="6C4B1E65"/>
    <w:rsid w:val="6C973375"/>
    <w:rsid w:val="6FBE3493"/>
    <w:rsid w:val="70C06DA5"/>
    <w:rsid w:val="73470105"/>
    <w:rsid w:val="74552807"/>
    <w:rsid w:val="75A26325"/>
    <w:rsid w:val="776E013D"/>
    <w:rsid w:val="78105AA2"/>
    <w:rsid w:val="79845A02"/>
    <w:rsid w:val="79CE1733"/>
    <w:rsid w:val="79ED3DA3"/>
    <w:rsid w:val="7A1C4F10"/>
    <w:rsid w:val="7B3B290A"/>
    <w:rsid w:val="7BD70D93"/>
    <w:rsid w:val="7BE532E0"/>
    <w:rsid w:val="7CA0464C"/>
    <w:rsid w:val="7E327526"/>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4">
    <w:name w:val="heading 1"/>
    <w:basedOn w:val="1"/>
    <w:next w:val="1"/>
    <w:qFormat/>
    <w:uiPriority w:val="0"/>
    <w:pPr>
      <w:keepNext/>
      <w:keepLines/>
      <w:spacing w:before="340" w:after="330" w:line="576" w:lineRule="auto"/>
      <w:outlineLvl w:val="0"/>
    </w:pPr>
    <w:rPr>
      <w:b/>
      <w:bCs/>
      <w:kern w:val="44"/>
      <w:sz w:val="44"/>
      <w:szCs w:val="44"/>
    </w:rPr>
  </w:style>
  <w:style w:type="paragraph" w:styleId="5">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6">
    <w:name w:val="heading 3"/>
    <w:basedOn w:val="1"/>
    <w:next w:val="7"/>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3"/>
    <w:qFormat/>
    <w:uiPriority w:val="0"/>
    <w:pPr>
      <w:spacing w:line="312" w:lineRule="auto"/>
      <w:ind w:firstLine="420"/>
    </w:pPr>
  </w:style>
  <w:style w:type="paragraph" w:styleId="3">
    <w:name w:val="Body Text"/>
    <w:basedOn w:val="1"/>
    <w:next w:val="1"/>
    <w:qFormat/>
    <w:uiPriority w:val="0"/>
    <w:pPr>
      <w:spacing w:after="120"/>
    </w:pPr>
  </w:style>
  <w:style w:type="paragraph" w:styleId="7">
    <w:name w:val="Normal Indent"/>
    <w:basedOn w:val="1"/>
    <w:next w:val="1"/>
    <w:qFormat/>
    <w:uiPriority w:val="0"/>
    <w:pPr>
      <w:ind w:firstLine="420"/>
    </w:pPr>
  </w:style>
  <w:style w:type="paragraph" w:styleId="8">
    <w:name w:val="Body Text Indent"/>
    <w:basedOn w:val="1"/>
    <w:semiHidden/>
    <w:unhideWhenUsed/>
    <w:qFormat/>
    <w:uiPriority w:val="0"/>
    <w:pPr>
      <w:spacing w:after="120" w:afterLines="0" w:afterAutospacing="0"/>
      <w:ind w:left="420" w:leftChars="200"/>
    </w:pPr>
  </w:style>
  <w:style w:type="paragraph" w:styleId="9">
    <w:name w:val="Plain Text"/>
    <w:basedOn w:val="1"/>
    <w:next w:val="1"/>
    <w:qFormat/>
    <w:uiPriority w:val="0"/>
    <w:rPr>
      <w:rFonts w:ascii="宋体" w:hAnsi="Courier New" w:cs="Courier New"/>
      <w:szCs w:val="21"/>
    </w:rPr>
  </w:style>
  <w:style w:type="paragraph" w:styleId="10">
    <w:name w:val="Balloon Text"/>
    <w:basedOn w:val="1"/>
    <w:link w:val="31"/>
    <w:qFormat/>
    <w:uiPriority w:val="0"/>
    <w:rPr>
      <w:sz w:val="18"/>
      <w:szCs w:val="18"/>
    </w:rPr>
  </w:style>
  <w:style w:type="paragraph" w:styleId="11">
    <w:name w:val="footer"/>
    <w:basedOn w:val="1"/>
    <w:link w:val="36"/>
    <w:qFormat/>
    <w:uiPriority w:val="99"/>
    <w:pPr>
      <w:tabs>
        <w:tab w:val="center" w:pos="4153"/>
        <w:tab w:val="right" w:pos="8306"/>
      </w:tabs>
      <w:snapToGrid w:val="0"/>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39"/>
    <w:pPr>
      <w:spacing w:line="360" w:lineRule="auto"/>
      <w:ind w:left="824" w:hanging="824"/>
    </w:pPr>
    <w:rPr>
      <w:rFonts w:ascii="宋体"/>
    </w:rPr>
  </w:style>
  <w:style w:type="paragraph" w:styleId="14">
    <w:name w:val="footnote text"/>
    <w:basedOn w:val="1"/>
    <w:qFormat/>
    <w:uiPriority w:val="0"/>
    <w:pPr>
      <w:snapToGrid w:val="0"/>
    </w:pPr>
    <w:rPr>
      <w:sz w:val="18"/>
      <w:szCs w:val="18"/>
    </w:rPr>
  </w:style>
  <w:style w:type="paragraph" w:styleId="15">
    <w:name w:val="Body Text 2"/>
    <w:basedOn w:val="1"/>
    <w:qFormat/>
    <w:uiPriority w:val="99"/>
    <w:pPr>
      <w:spacing w:line="360" w:lineRule="auto"/>
    </w:pPr>
    <w:rPr>
      <w:b/>
      <w:bCs/>
      <w:szCs w:val="21"/>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Hyperlink"/>
    <w:qFormat/>
    <w:uiPriority w:val="99"/>
    <w:rPr>
      <w:color w:val="0000FF"/>
      <w:u w:val="single"/>
    </w:rPr>
  </w:style>
  <w:style w:type="character" w:styleId="21">
    <w:name w:val="footnote reference"/>
    <w:qFormat/>
    <w:uiPriority w:val="0"/>
    <w:rPr>
      <w:vertAlign w:val="superscript"/>
    </w:rPr>
  </w:style>
  <w:style w:type="paragraph" w:customStyle="1" w:styleId="22">
    <w:name w:val="样式 宋体 行距: 1.5 倍行距"/>
    <w:basedOn w:val="1"/>
    <w:qFormat/>
    <w:uiPriority w:val="0"/>
    <w:pPr>
      <w:jc w:val="center"/>
    </w:pPr>
    <w:rPr>
      <w:rFonts w:ascii="Times New Roman" w:hAnsi="Times New Roman" w:eastAsia="宋体" w:cs="Times New Roman"/>
      <w:b/>
    </w:rPr>
  </w:style>
  <w:style w:type="paragraph" w:customStyle="1" w:styleId="23">
    <w:name w:val="_Style 3"/>
    <w:qFormat/>
    <w:uiPriority w:val="1"/>
    <w:pPr>
      <w:widowControl w:val="0"/>
      <w:jc w:val="both"/>
    </w:pPr>
    <w:rPr>
      <w:rFonts w:ascii="Calibri" w:hAnsi="Calibri" w:eastAsia="宋体" w:cs="仿宋_GB2312"/>
      <w:kern w:val="2"/>
      <w:sz w:val="21"/>
      <w:szCs w:val="22"/>
      <w:lang w:val="en-US" w:eastAsia="zh-CN" w:bidi="ar-SA"/>
    </w:rPr>
  </w:style>
  <w:style w:type="character" w:customStyle="1" w:styleId="24">
    <w:name w:val="p141"/>
    <w:qFormat/>
    <w:uiPriority w:val="0"/>
    <w:rPr>
      <w:sz w:val="21"/>
      <w:szCs w:val="21"/>
    </w:rPr>
  </w:style>
  <w:style w:type="paragraph" w:customStyle="1" w:styleId="25">
    <w:name w:val="表格正文-DDDDD"/>
    <w:basedOn w:val="1"/>
    <w:qFormat/>
    <w:uiPriority w:val="0"/>
    <w:pPr>
      <w:spacing w:line="300" w:lineRule="exact"/>
      <w:jc w:val="center"/>
    </w:pPr>
    <w:rPr>
      <w:rFonts w:ascii="方正宋三简体" w:eastAsia="方正宋三简体"/>
      <w:szCs w:val="21"/>
    </w:rPr>
  </w:style>
  <w:style w:type="paragraph" w:customStyle="1" w:styleId="2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1_0"/>
    <w:basedOn w:val="1"/>
    <w:next w:val="28"/>
    <w:qFormat/>
    <w:uiPriority w:val="0"/>
    <w:rPr>
      <w:rFonts w:ascii="宋体" w:hAnsi="Courier New"/>
    </w:rPr>
  </w:style>
  <w:style w:type="paragraph" w:customStyle="1" w:styleId="28">
    <w:name w:val="纯文本_0"/>
    <w:basedOn w:val="1"/>
    <w:qFormat/>
    <w:uiPriority w:val="0"/>
    <w:rPr>
      <w:rFonts w:ascii="宋体" w:hAnsi="Courier New"/>
    </w:rPr>
  </w:style>
  <w:style w:type="paragraph" w:customStyle="1" w:styleId="2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纯文本_0_0"/>
    <w:basedOn w:val="29"/>
    <w:qFormat/>
    <w:uiPriority w:val="0"/>
    <w:rPr>
      <w:rFonts w:ascii="宋体" w:hAnsi="Courier New"/>
      <w:spacing w:val="8"/>
      <w:sz w:val="24"/>
      <w:szCs w:val="24"/>
    </w:rPr>
  </w:style>
  <w:style w:type="character" w:customStyle="1" w:styleId="31">
    <w:name w:val="批注框文本 字符"/>
    <w:basedOn w:val="18"/>
    <w:link w:val="10"/>
    <w:qFormat/>
    <w:uiPriority w:val="0"/>
    <w:rPr>
      <w:rFonts w:ascii="Times New Roman" w:hAnsi="Times New Roman" w:eastAsia="宋体" w:cs="Times New Roman"/>
      <w:sz w:val="18"/>
      <w:szCs w:val="18"/>
    </w:rPr>
  </w:style>
  <w:style w:type="paragraph" w:customStyle="1" w:styleId="32">
    <w:name w:val="Revision"/>
    <w:hidden/>
    <w:semiHidden/>
    <w:qFormat/>
    <w:uiPriority w:val="99"/>
    <w:rPr>
      <w:rFonts w:ascii="Times New Roman" w:hAnsi="Times New Roman" w:eastAsia="宋体" w:cs="Times New Roman"/>
      <w:sz w:val="21"/>
      <w:lang w:val="en-US" w:eastAsia="zh-CN" w:bidi="ar-SA"/>
    </w:rPr>
  </w:style>
  <w:style w:type="paragraph" w:styleId="33">
    <w:name w:val="List Paragraph"/>
    <w:basedOn w:val="1"/>
    <w:qFormat/>
    <w:uiPriority w:val="99"/>
    <w:pPr>
      <w:ind w:firstLine="420" w:firstLineChars="200"/>
    </w:pPr>
  </w:style>
  <w:style w:type="table" w:customStyle="1" w:styleId="34">
    <w:name w:val="Grid Table Light"/>
    <w:basedOn w:val="1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5">
    <w:name w:val="Plain Table 1"/>
    <w:basedOn w:val="16"/>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6">
    <w:name w:val="页脚 字符"/>
    <w:basedOn w:val="18"/>
    <w:link w:val="11"/>
    <w:qFormat/>
    <w:uiPriority w:val="99"/>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4801</Words>
  <Characters>5171</Characters>
  <Lines>90</Lines>
  <Paragraphs>25</Paragraphs>
  <TotalTime>10</TotalTime>
  <ScaleCrop>false</ScaleCrop>
  <LinksUpToDate>false</LinksUpToDate>
  <CharactersWithSpaces>5249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不正常人类</cp:lastModifiedBy>
  <cp:lastPrinted>2024-08-16T08:50:00Z</cp:lastPrinted>
  <dcterms:modified xsi:type="dcterms:W3CDTF">2024-08-29T07:24:52Z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C25E602A400047F88F01B956CE548ED0_13</vt:lpwstr>
  </property>
  <property fmtid="{D5CDD505-2E9C-101B-9397-08002B2CF9AE}" pid="4" name="commondata">
    <vt:lpwstr>eyJoZGlkIjoiNTU4MzgxY2E3YzBmYzc3M2M4ZmMzMGMzZmQ4NzY3YjIifQ==</vt:lpwstr>
  </property>
</Properties>
</file>