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年度机电养护综合管养项目-广河路段自动道闸采购意向征集公告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广州交投集团营运道路 2023-2026 年度机电养护综合管养项目-广河路段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pPr w:leftFromText="180" w:rightFromText="180" w:vertAnchor="text" w:horzAnchor="page" w:tblpX="1454" w:tblpY="463"/>
        <w:tblOverlap w:val="never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567"/>
        <w:gridCol w:w="1166"/>
        <w:gridCol w:w="667"/>
        <w:gridCol w:w="717"/>
        <w:gridCol w:w="900"/>
        <w:gridCol w:w="966"/>
        <w:gridCol w:w="2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序号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材料</w:t>
            </w:r>
            <w:r>
              <w:rPr>
                <w:rFonts w:eastAsiaTheme="minorEastAsia"/>
                <w:szCs w:val="21"/>
              </w:rPr>
              <w:t>/</w:t>
            </w:r>
            <w:r>
              <w:rPr>
                <w:rFonts w:hAnsiTheme="minorEastAsia" w:eastAsiaTheme="minorEastAsia"/>
                <w:szCs w:val="21"/>
              </w:rPr>
              <w:t>设备名称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品牌</w:t>
            </w:r>
            <w:r>
              <w:rPr>
                <w:rFonts w:eastAsiaTheme="minorEastAsia"/>
                <w:szCs w:val="21"/>
              </w:rPr>
              <w:t>/</w:t>
            </w:r>
            <w:r>
              <w:rPr>
                <w:rFonts w:hAnsiTheme="minorEastAsia" w:eastAsiaTheme="minorEastAsia"/>
                <w:szCs w:val="21"/>
              </w:rPr>
              <w:t>型号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单位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数量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单价</w:t>
            </w:r>
          </w:p>
        </w:tc>
        <w:tc>
          <w:tcPr>
            <w:tcW w:w="96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2047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409-2-8-3-2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进出口道闸（含栏杆栏栅）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0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道闸栏杆款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防护等级： IP54 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二栏杆杆长：5米，起落速度6秒；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防砸车功能：支持外接防砸雷达、车辆检测器、红外对射、压力波等感应设备来实现防砸车。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409-2-8-3-5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车牌识别一体机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0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箱体防水等级：IP54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车牌识别摄像机： 300万高清镜头，综合识别率达99 %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外置补光灯: 50Hz  功率11W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发光角度30°  正白色温5500K-6200K 1300LM（流明）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车牌防伪:支持异常车牌（手机拍照、打印）告警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通讯方式： TCP/IP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宽动态范围 ：＞120dB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车辆捕获率：≥99.9%准确率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单车牌识别时间 ：≤150ms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算法： 普通蓝牌、单双层黄牌、新能源、特殊车牌（另行评估）等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兼容管理软件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409-2-8-3-4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数字车辆检测器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0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数字式车辆检测器（货车、半挂车使用）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409-2-1-1-24-1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地感线圈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个 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0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专业地感线圈，国标纯铜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409-2-1-5-4-1-1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5口/8口千兆交换机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409-2-4-5-3-1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六类以下网线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047" w:type="dxa"/>
            <w:vAlign w:val="center"/>
          </w:tcPr>
          <w:p>
            <w:pPr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128" w:type="dxa"/>
            <w:gridSpan w:val="5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AnsiTheme="minorEastAsia" w:eastAsiaTheme="minorEastAsia"/>
                <w:b/>
                <w:szCs w:val="21"/>
              </w:rPr>
              <w:t>合计：</w:t>
            </w: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AnsiTheme="minorEastAsia" w:eastAsiaTheme="minorEastAsia"/>
                <w:b/>
                <w:szCs w:val="21"/>
              </w:rPr>
              <w:t>￥</w:t>
            </w:r>
          </w:p>
        </w:tc>
      </w:tr>
    </w:tbl>
    <w:p>
      <w:p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45469.81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c1MDlkZTJkMzdjMzgxZDVlZGFjYzJjM2ZiNTUwYT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B30F77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B5B050C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2024-06-27T06:06:57Z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