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default" w:ascii="Times New Roman" w:hAnsi="Times New Roman" w:cs="Times New Roman"/>
          <w:b/>
          <w:color w:val="000000"/>
          <w:sz w:val="30"/>
          <w:szCs w:val="30"/>
          <w:lang w:val="en-US" w:eastAsia="zh-CN"/>
        </w:rPr>
        <w:t>南沙至中山高速公路项目机电工程施工（JD01</w:t>
      </w:r>
      <w:r>
        <w:rPr>
          <w:rFonts w:hint="default" w:ascii="Times New Roman" w:hAnsi="Times New Roman" w:cs="Times New Roman"/>
          <w:b/>
          <w:color w:val="000000"/>
          <w:sz w:val="30"/>
          <w:szCs w:val="30"/>
          <w:lang w:val="en-US" w:eastAsia="zh-CN"/>
        </w:rPr>
        <w:t>合同段）</w:t>
      </w:r>
      <w:r>
        <w:rPr>
          <w:rFonts w:hint="eastAsia" w:ascii="Times New Roman" w:hAnsi="Times New Roman" w:cs="Times New Roman"/>
          <w:b/>
          <w:color w:val="000000"/>
          <w:sz w:val="30"/>
          <w:szCs w:val="30"/>
          <w:lang w:val="en-US" w:eastAsia="zh-CN"/>
        </w:rPr>
        <w:t>高精度地图采集及制作、地图引擎模块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南沙至中山高速公路项目机电工程施工 （JD01合同段）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804"/>
        <w:gridCol w:w="1249"/>
        <w:gridCol w:w="810"/>
        <w:gridCol w:w="95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804-15-3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高精度地图采集及制作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805-2-2-7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地图引擎模块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详细需求清单及技术参数见后附附件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774986.00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</w:t>
      </w:r>
      <w:r>
        <w:rPr>
          <w:rFonts w:hint="eastAsia" w:cs="Times New Roman"/>
          <w:sz w:val="24"/>
          <w:szCs w:val="24"/>
          <w:lang w:val="en-US" w:eastAsia="zh-CN"/>
        </w:rPr>
        <w:t>后附附件</w:t>
      </w:r>
      <w:r>
        <w:rPr>
          <w:rFonts w:hint="default" w:ascii="Times New Roman" w:hAnsi="Times New Roman" w:eastAsia="宋体" w:cs="Times New Roman"/>
          <w:sz w:val="24"/>
          <w:szCs w:val="24"/>
        </w:rPr>
        <w:t>设备</w:t>
      </w:r>
      <w:r>
        <w:rPr>
          <w:rFonts w:hint="eastAsia" w:cs="Times New Roman"/>
          <w:sz w:val="24"/>
          <w:szCs w:val="24"/>
          <w:lang w:val="en-US" w:eastAsia="zh-CN"/>
        </w:rPr>
        <w:t>清单及</w:t>
      </w:r>
      <w:r>
        <w:rPr>
          <w:rFonts w:hint="default" w:ascii="Times New Roman" w:hAnsi="Times New Roman" w:eastAsia="宋体" w:cs="Times New Roman"/>
          <w:sz w:val="24"/>
          <w:szCs w:val="24"/>
        </w:rPr>
        <w:t>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1204355776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p>
      <w:pPr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br w:type="page"/>
      </w:r>
    </w:p>
    <w:p>
      <w:pPr>
        <w:topLinePunct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opLinePunct/>
        <w:spacing w:line="360" w:lineRule="auto"/>
        <w:jc w:val="both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附件：详细需求</w:t>
      </w:r>
      <w:r>
        <w:rPr>
          <w:rFonts w:hint="eastAsia" w:ascii="宋体" w:hAnsi="宋体" w:eastAsia="宋体" w:cs="宋体"/>
          <w:b/>
          <w:sz w:val="28"/>
          <w:szCs w:val="28"/>
          <w:lang w:val="zh-CN"/>
        </w:rPr>
        <w:t>技术参数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及清单</w:t>
      </w:r>
    </w:p>
    <w:tbl>
      <w:tblPr>
        <w:tblStyle w:val="13"/>
        <w:tblW w:w="144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069"/>
        <w:gridCol w:w="2205"/>
        <w:gridCol w:w="6705"/>
        <w:gridCol w:w="160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2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系统/产品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功能模块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功能说明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2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2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dem高程数据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5m精度DEM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提供集团高速范围内数字高程模型（DEM）数据，其中高速公路周边（1 公里内）提供5 米或以上精度DEM 数据并做好衔接处的融合处理。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元/平方公里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12.5m精度DEM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其余范围提供12.5 米或以上精度DEM 数据，并做好衔接处的融合处理。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卫星影像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0.5m精度DOM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国内高景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提供集团高速范围内数字正射影像DOM 数据，其中集团高速范围周边（1 公里内）提供0.5 米或以上精度DOM 数据，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元/平方公里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1m精度DEM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其余范围提供1 米或以上精度DOM 数据。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元/平方公里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高精地图数据采集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采集车采集-双向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1.数据采集能力要求：高精度地图数据采集、自检、解 算、清洗、入库，高精地图自动化处理、地图要素人工制作。数据采集细化要求：配备有 Lidar、camera、GPS、IMU 等传感器的采集车，采集包括行包括行车轨迹、图像、激光点云等数据。支持数据自检和入库检查过程中的补充采集。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2.采集范围：南中高速公路，包括道路、路口及其附属设施，具体道路清单待项目实施时共同协商选取，上下线分离道路双方向分别计算里程。</w:t>
            </w:r>
            <w:bookmarkStart w:id="3" w:name="_GoBack"/>
            <w:bookmarkEnd w:id="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采集元素要求：高精地图提供道路交通标志线、标识牌等道路设施的精准位置和图像，支持路口静态交通元素数字化，包括路面、交通标志线（车道线、指示箭头、停止线、人行横道线、待行区域线、路面文字等）、交通标志、电警杆、红绿灯杆、交通护栏等主要交通元素数字化，数字化模型为ShapeFile 格式标准。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高精地图的制作和编译能力要求：具备采集数据的处理能力，如高精轨迹解算、激光点云拼接、生成反射值地图，具备基于深度学习的元素识别和点云分类，对激光和图像进行高精地图要素的自动化识别能力。需要具备复杂城区高精地图的量产制作能力，制定高精地图所需的数据规格和制作工艺，并涵盖多种要素类别，比如：车道线、路缘石、防护栏、地面箭头等高精地图要素；设计发布高精地图的数据格式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对接服务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业务系统交互对接</w:t>
            </w: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针对业务系统的数据交互需求，定制开发数据接口。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F2329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F2329"/>
                <w:kern w:val="0"/>
                <w:sz w:val="21"/>
                <w:szCs w:val="21"/>
                <w:u w:val="none"/>
                <w:lang w:val="en-US" w:eastAsia="zh-CN" w:bidi="ar"/>
              </w:rPr>
              <w:t>Minemap引擎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基于WebGL技术的矢量化地图发布技术，实现地图个性化渲染。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支持地图无级缩放；支持旋转、切换视角、倾斜等展示效果 ；支持地图飞行等效果。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地图样式高自由度配置：提供地图配置编辑功能， 支持对数据进行条件过滤，数据的颜色、宽度、样式、展示级别等可自定义设置，快速创建专属地图。可基于样式、底图和模板的个性化配置，实现地图高度定制化。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提供大规模数据的可视化引擎，支持散点图、聚合图、基础热力图、网格热力图、柱状热力图、柱状图、OD图、航线图、轨迹图、车辆轨迹追踪、粒子特效。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清单说明：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（1）</w:t>
      </w:r>
      <w:r>
        <w:rPr>
          <w:rFonts w:hint="default" w:ascii="Times New Roman" w:hAnsi="Times New Roman" w:eastAsia="宋体" w:cs="Times New Roman"/>
          <w:sz w:val="21"/>
          <w:szCs w:val="21"/>
        </w:rPr>
        <w:t>内容包括：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数据采集费、处理费、软件开发费、安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部署费、技术培训费、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调试费、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保险费、</w:t>
      </w:r>
      <w:r>
        <w:rPr>
          <w:rFonts w:hint="default" w:ascii="Times New Roman" w:hAnsi="Times New Roman" w:eastAsia="宋体" w:cs="Times New Roman"/>
          <w:sz w:val="21"/>
          <w:szCs w:val="21"/>
        </w:rPr>
        <w:t>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；</w:t>
      </w:r>
    </w:p>
    <w:p>
      <w:pPr>
        <w:numPr>
          <w:ilvl w:val="0"/>
          <w:numId w:val="5"/>
        </w:num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以上报价清单内的地图引擎需满足：应为标准化软件产品，可支持接入和使用不同图商采集的地图数据；</w:t>
      </w:r>
    </w:p>
    <w:p>
      <w:pPr>
        <w:numPr>
          <w:ilvl w:val="0"/>
          <w:numId w:val="5"/>
        </w:num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报价清单内的地图引擎在最终合同签订并完成合同内供货任务后，需完成地图引擎的交付，指卖方向买方（广东诚泰交通科技发展有限公司）提供的专有信息和资料，一般包括软件、软件开发包、应用程序设计界面工具包、相关程序源代码、</w:t>
      </w:r>
      <w:r>
        <w:rPr>
          <w:rFonts w:hint="default" w:ascii="Times New Roman" w:hAnsi="Times New Roman" w:eastAsia="宋体" w:cs="Times New Roman"/>
          <w:bCs/>
          <w:sz w:val="21"/>
          <w:szCs w:val="21"/>
        </w:rPr>
        <w:t>需求规格说明书、设计文档、测试文档和用户手册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等软件和文档。</w:t>
      </w:r>
    </w:p>
    <w:p>
      <w:pPr>
        <w:topLinePunct/>
        <w:spacing w:line="360" w:lineRule="auto"/>
        <w:jc w:val="center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1D4E08"/>
    <w:multiLevelType w:val="singleLevel"/>
    <w:tmpl w:val="A51D4E0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A85553"/>
    <w:rsid w:val="02BE3126"/>
    <w:rsid w:val="02CF2D69"/>
    <w:rsid w:val="02E72D8C"/>
    <w:rsid w:val="03393105"/>
    <w:rsid w:val="04406715"/>
    <w:rsid w:val="046B1D8B"/>
    <w:rsid w:val="046E3765"/>
    <w:rsid w:val="05FC2DA4"/>
    <w:rsid w:val="06622CB2"/>
    <w:rsid w:val="06A411DD"/>
    <w:rsid w:val="06BA27AF"/>
    <w:rsid w:val="072D08E0"/>
    <w:rsid w:val="083A6841"/>
    <w:rsid w:val="08D613F6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420FE0"/>
    <w:rsid w:val="0DA26991"/>
    <w:rsid w:val="0ECB4993"/>
    <w:rsid w:val="0F2140C2"/>
    <w:rsid w:val="0FCF1650"/>
    <w:rsid w:val="109A432F"/>
    <w:rsid w:val="112A7044"/>
    <w:rsid w:val="118E5A06"/>
    <w:rsid w:val="123D1FC9"/>
    <w:rsid w:val="12ED5CBA"/>
    <w:rsid w:val="13AA7D91"/>
    <w:rsid w:val="140B63F8"/>
    <w:rsid w:val="14C447F8"/>
    <w:rsid w:val="156452D7"/>
    <w:rsid w:val="16AC7049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7E7C3A"/>
    <w:rsid w:val="1DB8051D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4B85434"/>
    <w:rsid w:val="252235A1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2DA54BB"/>
    <w:rsid w:val="337322A8"/>
    <w:rsid w:val="33D53A32"/>
    <w:rsid w:val="34403FA4"/>
    <w:rsid w:val="34DB5F68"/>
    <w:rsid w:val="35912415"/>
    <w:rsid w:val="36C546D4"/>
    <w:rsid w:val="371778DF"/>
    <w:rsid w:val="37E62326"/>
    <w:rsid w:val="387371E8"/>
    <w:rsid w:val="38A511DA"/>
    <w:rsid w:val="38EC419A"/>
    <w:rsid w:val="390B634E"/>
    <w:rsid w:val="3A1B67E7"/>
    <w:rsid w:val="3A7D6982"/>
    <w:rsid w:val="3C047712"/>
    <w:rsid w:val="3CCC5DA0"/>
    <w:rsid w:val="3CD77495"/>
    <w:rsid w:val="3D4445A5"/>
    <w:rsid w:val="3D566086"/>
    <w:rsid w:val="3DC27043"/>
    <w:rsid w:val="3DD1395F"/>
    <w:rsid w:val="3E8C010F"/>
    <w:rsid w:val="3EFD65C9"/>
    <w:rsid w:val="3F1831BA"/>
    <w:rsid w:val="400E2C48"/>
    <w:rsid w:val="403A795B"/>
    <w:rsid w:val="4044389B"/>
    <w:rsid w:val="405A1097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78551C7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3794425"/>
    <w:rsid w:val="54210D44"/>
    <w:rsid w:val="54227B28"/>
    <w:rsid w:val="55A27C63"/>
    <w:rsid w:val="55A710AE"/>
    <w:rsid w:val="560426CB"/>
    <w:rsid w:val="560F1B9D"/>
    <w:rsid w:val="57BF2D4E"/>
    <w:rsid w:val="581C7AD1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3422A85"/>
    <w:rsid w:val="65922BE0"/>
    <w:rsid w:val="65CF770C"/>
    <w:rsid w:val="676034DA"/>
    <w:rsid w:val="680622D3"/>
    <w:rsid w:val="6873723D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7372D57"/>
    <w:rsid w:val="782E76D1"/>
    <w:rsid w:val="795270AE"/>
    <w:rsid w:val="79870010"/>
    <w:rsid w:val="79E2018B"/>
    <w:rsid w:val="7B7610C6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2024-05-29T02:10:23Z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