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hint="default" w:ascii="Times New Roman" w:hAnsi="Times New Roman" w:eastAsia="宋体" w:cs="Times New Roman"/>
          <w:b/>
          <w:color w:val="000000"/>
          <w:sz w:val="30"/>
          <w:szCs w:val="30"/>
        </w:rPr>
      </w:pPr>
      <w:r>
        <w:rPr>
          <w:rFonts w:hint="eastAsia" w:ascii="Times New Roman" w:hAnsi="Times New Roman" w:eastAsia="宋体" w:cs="Times New Roman"/>
          <w:b/>
          <w:color w:val="000000"/>
          <w:sz w:val="30"/>
          <w:szCs w:val="30"/>
        </w:rPr>
        <w:t>大广高速2023年度收费系统设备更新改造施工项目</w:t>
      </w:r>
      <w:r>
        <w:rPr>
          <w:rFonts w:hint="eastAsia" w:cs="Times New Roman"/>
          <w:b/>
          <w:color w:val="000000"/>
          <w:sz w:val="30"/>
          <w:szCs w:val="30"/>
          <w:lang w:val="en-US" w:eastAsia="zh-CN"/>
        </w:rPr>
        <w:t>软件</w:t>
      </w:r>
      <w:r>
        <w:rPr>
          <w:rFonts w:hint="default" w:ascii="Times New Roman" w:hAnsi="Times New Roman" w:eastAsia="宋体" w:cs="Times New Roman"/>
          <w:b/>
          <w:color w:val="000000"/>
          <w:sz w:val="30"/>
          <w:szCs w:val="30"/>
        </w:rPr>
        <w:t>采购意向征集公告</w:t>
      </w:r>
    </w:p>
    <w:p>
      <w:pPr>
        <w:pStyle w:val="12"/>
        <w:rPr>
          <w:rFonts w:hint="default" w:ascii="Times New Roman" w:hAnsi="Times New Roman" w:eastAsia="宋体" w:cs="Times New Roman"/>
          <w:sz w:val="24"/>
          <w:szCs w:val="24"/>
        </w:rPr>
      </w:pPr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  <w:t>项目概况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1.1项目名称：大广高速2023年度收费系统设备更新改造施工项目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1.2项目地点：广州市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  <w:t>具体工程量清单</w:t>
      </w:r>
    </w:p>
    <w:tbl>
      <w:tblPr>
        <w:tblStyle w:val="13"/>
        <w:tblW w:w="79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3"/>
        <w:gridCol w:w="2000"/>
        <w:gridCol w:w="1291"/>
        <w:gridCol w:w="999"/>
        <w:gridCol w:w="922"/>
        <w:gridCol w:w="12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149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序号</w:t>
            </w:r>
          </w:p>
        </w:tc>
        <w:tc>
          <w:tcPr>
            <w:tcW w:w="200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材料名称</w:t>
            </w:r>
          </w:p>
        </w:tc>
        <w:tc>
          <w:tcPr>
            <w:tcW w:w="1291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品牌/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型号</w:t>
            </w:r>
          </w:p>
        </w:tc>
        <w:tc>
          <w:tcPr>
            <w:tcW w:w="999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单位</w:t>
            </w:r>
          </w:p>
        </w:tc>
        <w:tc>
          <w:tcPr>
            <w:tcW w:w="92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数量</w:t>
            </w:r>
          </w:p>
        </w:tc>
        <w:tc>
          <w:tcPr>
            <w:tcW w:w="12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49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/>
              </w:rPr>
            </w:pPr>
            <w:r>
              <w:rPr>
                <w:rStyle w:val="42"/>
                <w:lang w:val="en-US" w:eastAsia="zh-CN" w:bidi="ar"/>
              </w:rPr>
              <w:t>802-13-1</w:t>
            </w:r>
          </w:p>
        </w:tc>
        <w:tc>
          <w:tcPr>
            <w:tcW w:w="20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/>
              </w:rPr>
            </w:pPr>
            <w:r>
              <w:rPr>
                <w:rStyle w:val="42"/>
                <w:lang w:val="en-US" w:eastAsia="zh-CN" w:bidi="ar"/>
              </w:rPr>
              <w:t>车道应急移动支付</w:t>
            </w:r>
          </w:p>
        </w:tc>
        <w:tc>
          <w:tcPr>
            <w:tcW w:w="1291" w:type="dxa"/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/>
              </w:rPr>
            </w:pPr>
          </w:p>
        </w:tc>
        <w:tc>
          <w:tcPr>
            <w:tcW w:w="99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922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18"/>
                <w:szCs w:val="18"/>
                <w:lang w:val="en-US" w:eastAsia="zh-CN"/>
              </w:rPr>
              <w:t>50</w:t>
            </w:r>
          </w:p>
        </w:tc>
        <w:tc>
          <w:tcPr>
            <w:tcW w:w="12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49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802-14</w:t>
            </w:r>
          </w:p>
        </w:tc>
        <w:tc>
          <w:tcPr>
            <w:tcW w:w="20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ETC交易增加在线计费功能</w:t>
            </w:r>
          </w:p>
        </w:tc>
        <w:tc>
          <w:tcPr>
            <w:tcW w:w="1291" w:type="dxa"/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/>
              </w:rPr>
            </w:pPr>
          </w:p>
        </w:tc>
        <w:tc>
          <w:tcPr>
            <w:tcW w:w="99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922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18"/>
                <w:szCs w:val="18"/>
                <w:lang w:val="en-US" w:eastAsia="zh-CN"/>
              </w:rPr>
              <w:t>50</w:t>
            </w:r>
          </w:p>
        </w:tc>
        <w:tc>
          <w:tcPr>
            <w:tcW w:w="12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49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805-2-1</w:t>
            </w:r>
          </w:p>
        </w:tc>
        <w:tc>
          <w:tcPr>
            <w:tcW w:w="20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灵稽E动稽查系统</w:t>
            </w:r>
          </w:p>
        </w:tc>
        <w:tc>
          <w:tcPr>
            <w:tcW w:w="1291" w:type="dxa"/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/>
              </w:rPr>
            </w:pPr>
          </w:p>
        </w:tc>
        <w:tc>
          <w:tcPr>
            <w:tcW w:w="99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年</w:t>
            </w:r>
          </w:p>
        </w:tc>
        <w:tc>
          <w:tcPr>
            <w:tcW w:w="92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49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805-2-2</w:t>
            </w:r>
          </w:p>
        </w:tc>
        <w:tc>
          <w:tcPr>
            <w:tcW w:w="20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收费系统小规模升级</w:t>
            </w:r>
          </w:p>
        </w:tc>
        <w:tc>
          <w:tcPr>
            <w:tcW w:w="1291" w:type="dxa"/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/>
              </w:rPr>
            </w:pPr>
          </w:p>
        </w:tc>
        <w:tc>
          <w:tcPr>
            <w:tcW w:w="99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年</w:t>
            </w:r>
          </w:p>
        </w:tc>
        <w:tc>
          <w:tcPr>
            <w:tcW w:w="92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1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清单说明：</w:t>
      </w:r>
    </w:p>
    <w:p>
      <w:pPr>
        <w:numPr>
          <w:ilvl w:val="0"/>
          <w:numId w:val="4"/>
        </w:numPr>
        <w:wordWrap w:val="0"/>
        <w:topLinePunct/>
        <w:spacing w:line="360" w:lineRule="auto"/>
        <w:ind w:firstLine="566" w:firstLineChars="236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包括运输、</w:t>
      </w:r>
      <w:r>
        <w:rPr>
          <w:rFonts w:hint="eastAsia" w:cs="Times New Roman"/>
          <w:bCs/>
          <w:snapToGrid w:val="0"/>
          <w:kern w:val="0"/>
          <w:sz w:val="24"/>
          <w:szCs w:val="24"/>
          <w:lang w:val="en-US" w:eastAsia="zh-CN"/>
        </w:rPr>
        <w:t>安装费、调试费、</w:t>
      </w: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保险费、税费、试运行及缺陷的维护等一切费用</w:t>
      </w:r>
      <w:r>
        <w:rPr>
          <w:rFonts w:hint="eastAsia" w:cs="Times New Roman"/>
          <w:bCs/>
          <w:snapToGrid w:val="0"/>
          <w:kern w:val="0"/>
          <w:sz w:val="24"/>
          <w:szCs w:val="24"/>
          <w:lang w:val="en-US" w:eastAsia="zh-CN"/>
        </w:rPr>
        <w:t>；</w:t>
      </w:r>
    </w:p>
    <w:p>
      <w:pPr>
        <w:numPr>
          <w:ilvl w:val="0"/>
          <w:numId w:val="4"/>
        </w:numPr>
        <w:wordWrap w:val="0"/>
        <w:topLinePunct/>
        <w:spacing w:line="360" w:lineRule="auto"/>
        <w:ind w:firstLine="566" w:firstLineChars="236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最高限价</w:t>
      </w:r>
      <w:r>
        <w:rPr>
          <w:rFonts w:hint="eastAsia" w:ascii="Times New Roman" w:hAnsi="Times New Roman" w:eastAsia="宋体" w:cs="Times New Roman"/>
          <w:bCs/>
          <w:snapToGrid w:val="0"/>
          <w:kern w:val="0"/>
          <w:sz w:val="24"/>
          <w:szCs w:val="24"/>
          <w:lang w:val="en-US" w:eastAsia="zh-CN"/>
        </w:rPr>
        <w:t>：</w:t>
      </w:r>
      <w:r>
        <w:rPr>
          <w:rFonts w:hint="eastAsia" w:cs="Times New Roman"/>
          <w:bCs/>
          <w:snapToGrid w:val="0"/>
          <w:kern w:val="0"/>
          <w:sz w:val="24"/>
          <w:szCs w:val="24"/>
          <w:lang w:val="en-US" w:eastAsia="zh-CN"/>
        </w:rPr>
        <w:t>387000.00</w:t>
      </w:r>
      <w:r>
        <w:rPr>
          <w:rFonts w:hint="eastAsia" w:ascii="Times New Roman" w:hAnsi="Times New Roman" w:eastAsia="宋体" w:cs="Times New Roman"/>
          <w:bCs/>
          <w:snapToGrid w:val="0"/>
          <w:kern w:val="0"/>
          <w:sz w:val="24"/>
          <w:szCs w:val="24"/>
          <w:lang w:val="en-US" w:eastAsia="zh-CN"/>
        </w:rPr>
        <w:t>元。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</w:pPr>
      <w:r>
        <w:rPr>
          <w:rFonts w:hint="eastAsia" w:cs="Times New Roman"/>
          <w:b/>
          <w:snapToGrid w:val="0"/>
          <w:kern w:val="0"/>
          <w:sz w:val="24"/>
          <w:szCs w:val="24"/>
          <w:lang w:val="en-US" w:eastAsia="zh-CN"/>
        </w:rPr>
        <w:t>技术要求</w:t>
      </w:r>
    </w:p>
    <w:p>
      <w:pPr>
        <w:numPr>
          <w:ilvl w:val="0"/>
          <w:numId w:val="0"/>
        </w:numPr>
        <w:topLinePunct/>
        <w:spacing w:line="360" w:lineRule="auto"/>
        <w:outlineLvl w:val="1"/>
        <w:rPr>
          <w:rFonts w:hint="eastAsia" w:eastAsia="宋体"/>
          <w:lang w:eastAsia="zh-CN"/>
        </w:rPr>
      </w:pPr>
      <w:r>
        <w:rPr>
          <w:rFonts w:hint="eastAsia" w:eastAsia="宋体"/>
          <w:b/>
          <w:bCs/>
          <w:lang w:eastAsia="zh-CN"/>
        </w:rPr>
        <w:t>802-13-1. 出口车道移动支付系统应急处置：</w:t>
      </w:r>
    </w:p>
    <w:p>
      <w:pPr>
        <w:numPr>
          <w:ilvl w:val="0"/>
          <w:numId w:val="0"/>
        </w:numPr>
        <w:topLinePunct/>
        <w:spacing w:line="360" w:lineRule="auto"/>
        <w:outlineLvl w:val="1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t>当现有移动支付系统不能正常使用时，车道软件快速切换至应急支付系统，与原移动支付功能一致，支持扫码支付、支付结果查询、退费、退费结果查询、核单功能。</w:t>
      </w:r>
    </w:p>
    <w:p>
      <w:pPr>
        <w:numPr>
          <w:ilvl w:val="0"/>
          <w:numId w:val="0"/>
        </w:numPr>
        <w:topLinePunct/>
        <w:spacing w:line="360" w:lineRule="auto"/>
        <w:outlineLvl w:val="1"/>
        <w:rPr>
          <w:rFonts w:hint="eastAsia" w:eastAsia="宋体"/>
          <w:b/>
          <w:bCs/>
          <w:lang w:eastAsia="zh-CN"/>
        </w:rPr>
      </w:pPr>
      <w:r>
        <w:rPr>
          <w:rFonts w:hint="eastAsia" w:eastAsia="宋体"/>
          <w:b/>
          <w:bCs/>
          <w:lang w:eastAsia="zh-CN"/>
        </w:rPr>
        <w:t>802-14. ETC 交易增加在线计费功能：</w:t>
      </w:r>
    </w:p>
    <w:p>
      <w:pPr>
        <w:numPr>
          <w:ilvl w:val="0"/>
          <w:numId w:val="0"/>
        </w:numPr>
        <w:topLinePunct/>
        <w:spacing w:line="360" w:lineRule="auto"/>
        <w:outlineLvl w:val="1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t>ETC 专用车道是无人值守模式，出现“OBU 内累计金额超过上下限”、“计费模块因拟合异常等原因计费失败”两类特情时，通过在线计费方式，在 ETC 车道直接处理。丰富 ETC 车道计费方法，提升 ETC 车道异常处理能力，提升通行效率，达到准确收费应收尽收的目标。</w:t>
      </w:r>
    </w:p>
    <w:p>
      <w:pPr>
        <w:numPr>
          <w:ilvl w:val="0"/>
          <w:numId w:val="0"/>
        </w:numPr>
        <w:topLinePunct/>
        <w:spacing w:line="360" w:lineRule="auto"/>
        <w:outlineLvl w:val="1"/>
        <w:rPr>
          <w:rFonts w:hint="eastAsia" w:eastAsia="宋体"/>
          <w:b/>
          <w:bCs/>
          <w:lang w:eastAsia="zh-CN"/>
        </w:rPr>
      </w:pPr>
      <w:r>
        <w:rPr>
          <w:rFonts w:hint="eastAsia" w:eastAsia="宋体"/>
          <w:b/>
          <w:bCs/>
          <w:lang w:eastAsia="zh-CN"/>
        </w:rPr>
        <w:t>805-2-1.灵稽 E 动稽查系统：</w:t>
      </w:r>
    </w:p>
    <w:p>
      <w:pPr>
        <w:numPr>
          <w:ilvl w:val="0"/>
          <w:numId w:val="0"/>
        </w:numPr>
        <w:topLinePunct/>
        <w:spacing w:line="360" w:lineRule="auto"/>
        <w:outlineLvl w:val="1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t>部级工单自动处理功能下载部级工单数据，在省中心自动下载对应交易流水、车辆行驶图片数据，自动填写缺失收费单元，自动补齐证据链。形成自动处理工具，减轻用户负担，目前包含大车小标、有入无出、假冒节假日免费等多种工单类型，覆盖用户常用工单类型。</w:t>
      </w:r>
    </w:p>
    <w:p>
      <w:pPr>
        <w:numPr>
          <w:ilvl w:val="0"/>
          <w:numId w:val="0"/>
        </w:numPr>
        <w:topLinePunct/>
        <w:spacing w:line="360" w:lineRule="auto"/>
        <w:outlineLvl w:val="1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t>有入无出稽核模型下载 ETC 对账系统数据，在大数据平台自动进行数据分析，在省稽核平台自动进行数据筛选，形成 ETC 有入无出工单，有效打击跟车逃费等逃费行为。</w:t>
      </w:r>
    </w:p>
    <w:p>
      <w:pPr>
        <w:numPr>
          <w:ilvl w:val="0"/>
          <w:numId w:val="0"/>
        </w:numPr>
        <w:topLinePunct/>
        <w:spacing w:line="360" w:lineRule="auto"/>
        <w:outlineLvl w:val="1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t>精算拆分报表在试点路段下载拆分数据，统一在大数据平台解析和数据挖掘，计算结算金额、拆分差异等数据，助力用户应收尽收，分析拆分异常情况。其他稽核模型吸纳集团内交易数据，在大数据平台分析假冒节假日免费、大车小标、异常兜底（行驶超时且卡内累计金额过大）等逃费车辆数据，推送到工单处理界面，协助稽核人员进行抓逃稽核工作。</w:t>
      </w:r>
    </w:p>
    <w:p>
      <w:pPr>
        <w:numPr>
          <w:ilvl w:val="0"/>
          <w:numId w:val="0"/>
        </w:numPr>
        <w:topLinePunct/>
        <w:spacing w:line="360" w:lineRule="auto"/>
        <w:outlineLvl w:val="1"/>
        <w:rPr>
          <w:rFonts w:hint="eastAsia" w:eastAsia="宋体"/>
          <w:lang w:eastAsia="zh-CN"/>
        </w:rPr>
      </w:pPr>
      <w:r>
        <w:rPr>
          <w:rFonts w:hint="eastAsia" w:eastAsia="宋体"/>
          <w:b/>
          <w:bCs/>
          <w:lang w:eastAsia="zh-CN"/>
        </w:rPr>
        <w:t>805-2-2.收费系统小规模升级：</w:t>
      </w:r>
    </w:p>
    <w:p>
      <w:pPr>
        <w:numPr>
          <w:ilvl w:val="0"/>
          <w:numId w:val="0"/>
        </w:numPr>
        <w:topLinePunct/>
        <w:spacing w:line="360" w:lineRule="auto"/>
        <w:outlineLvl w:val="1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t>为了提高通行效率，提升用户体验及业主生产效率，根据部路网中心、省交通运输厅、联合电服等上级部门相关工作要求和路段反馈异常、用户投诉等情况，对收费系统部分功能进行升级改造，以便进一步完善收费系统，支持和保障收费业务的正常开展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  <w:t>供应商资格条件</w:t>
      </w:r>
    </w:p>
    <w:p>
      <w:pPr>
        <w:pStyle w:val="6"/>
        <w:ind w:firstLine="48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信用信誉良好，所供设备符合本工程量清单设备技术要求。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napToGrid w:val="0"/>
          <w:color w:val="00000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凡有意参加本次采购且具备履行本项目能力的供应商，请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将附于本公告后的响应回执在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</w:rPr>
        <w:t>202</w:t>
      </w:r>
      <w:r>
        <w:rPr>
          <w:rFonts w:hint="eastAsia" w:cs="Times New Roman"/>
          <w:color w:val="000000"/>
          <w:sz w:val="24"/>
          <w:szCs w:val="24"/>
          <w:u w:val="single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</w:rPr>
        <w:t>年</w:t>
      </w:r>
      <w:r>
        <w:rPr>
          <w:rFonts w:hint="eastAsia" w:cs="Times New Roman"/>
          <w:color w:val="000000"/>
          <w:sz w:val="24"/>
          <w:szCs w:val="24"/>
          <w:u w:val="single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</w:rPr>
        <w:t>月</w:t>
      </w:r>
      <w:r>
        <w:rPr>
          <w:rFonts w:hint="eastAsia" w:cs="Times New Roman"/>
          <w:color w:val="000000"/>
          <w:sz w:val="24"/>
          <w:szCs w:val="24"/>
          <w:u w:val="single"/>
          <w:lang w:val="en-US" w:eastAsia="zh-CN"/>
        </w:rPr>
        <w:t>26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</w:rPr>
        <w:t>日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  <w:lang w:val="en-US" w:eastAsia="zh-CN"/>
        </w:rPr>
        <w:t>1</w:t>
      </w:r>
      <w:r>
        <w:rPr>
          <w:rFonts w:hint="eastAsia" w:cs="Times New Roman"/>
          <w:color w:val="000000"/>
          <w:sz w:val="24"/>
          <w:szCs w:val="24"/>
          <w:u w:val="single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</w:rPr>
        <w:t>：00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之前发送至采购人邮箱：</w:t>
      </w:r>
      <w:r>
        <w:rPr>
          <w:rFonts w:hint="eastAsia" w:cs="Times New Roman"/>
          <w:color w:val="000000"/>
          <w:sz w:val="24"/>
          <w:szCs w:val="24"/>
          <w:lang w:val="en-US" w:eastAsia="zh-CN"/>
        </w:rPr>
        <w:t>1263635487</w:t>
      </w:r>
      <w:r>
        <w:rPr>
          <w:rFonts w:hint="default" w:ascii="Times New Roman" w:hAnsi="Times New Roman" w:eastAsia="宋体" w:cs="Times New Roman"/>
          <w:snapToGrid w:val="0"/>
          <w:color w:val="000000"/>
          <w:kern w:val="0"/>
          <w:sz w:val="24"/>
          <w:szCs w:val="24"/>
        </w:rPr>
        <w:t>@</w:t>
      </w:r>
      <w:r>
        <w:rPr>
          <w:rFonts w:hint="eastAsia" w:cs="Times New Roman"/>
          <w:snapToGrid w:val="0"/>
          <w:color w:val="000000"/>
          <w:kern w:val="0"/>
          <w:sz w:val="24"/>
          <w:szCs w:val="24"/>
          <w:lang w:val="en-US" w:eastAsia="zh-CN"/>
        </w:rPr>
        <w:t>qq</w:t>
      </w:r>
      <w:r>
        <w:rPr>
          <w:rFonts w:hint="default" w:ascii="Times New Roman" w:hAnsi="Times New Roman" w:eastAsia="宋体" w:cs="Times New Roman"/>
          <w:snapToGrid w:val="0"/>
          <w:color w:val="000000"/>
          <w:kern w:val="0"/>
          <w:sz w:val="24"/>
          <w:szCs w:val="24"/>
        </w:rPr>
        <w:t>.com，逾期无效。采购人在收到响应回执后</w:t>
      </w:r>
      <w:bookmarkStart w:id="3" w:name="_GoBack"/>
      <w:bookmarkEnd w:id="3"/>
      <w:r>
        <w:rPr>
          <w:rFonts w:hint="default" w:ascii="Times New Roman" w:hAnsi="Times New Roman" w:eastAsia="宋体" w:cs="Times New Roman"/>
          <w:snapToGrid w:val="0"/>
          <w:color w:val="000000"/>
          <w:kern w:val="0"/>
          <w:sz w:val="24"/>
          <w:szCs w:val="24"/>
        </w:rPr>
        <w:t>根据供应商信用信誉等情况进行讨论提议，不再另行发布采购公告。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</w:pPr>
      <w:bookmarkStart w:id="0" w:name="_Toc332793818"/>
      <w:bookmarkStart w:id="1" w:name="_Toc332965960"/>
      <w:bookmarkStart w:id="2" w:name="_Toc332793891"/>
      <w:r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采购人：广东诚泰交通科技发展有限公司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采购人地址：广州市番禺区洛浦街道北环路87号道路研究院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lang w:val="en-US" w:eastAsia="zh-CN"/>
        </w:rPr>
        <w:t>有限公司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联  系  人：</w:t>
      </w:r>
      <w:r>
        <w:rPr>
          <w:rFonts w:hint="eastAsia" w:cs="Times New Roman"/>
          <w:color w:val="000000"/>
          <w:sz w:val="24"/>
          <w:szCs w:val="24"/>
          <w:lang w:val="en-US" w:eastAsia="zh-CN"/>
        </w:rPr>
        <w:t>梁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电      话：020-39185</w:t>
      </w:r>
      <w:r>
        <w:rPr>
          <w:rFonts w:hint="eastAsia" w:cs="Times New Roman"/>
          <w:color w:val="000000"/>
          <w:sz w:val="24"/>
          <w:szCs w:val="24"/>
          <w:lang w:val="en-US" w:eastAsia="zh-CN"/>
        </w:rPr>
        <w:t>344</w:t>
      </w:r>
    </w:p>
    <w:p>
      <w:pPr>
        <w:topLinePunct/>
        <w:spacing w:line="360" w:lineRule="auto"/>
        <w:jc w:val="right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广东诚泰交通科技发展有限公司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 xml:space="preserve">                                              202</w:t>
      </w:r>
      <w:r>
        <w:rPr>
          <w:rFonts w:hint="eastAsia" w:cs="Times New Roman"/>
          <w:color w:val="000000"/>
          <w:sz w:val="24"/>
          <w:szCs w:val="24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年</w:t>
      </w:r>
      <w:r>
        <w:rPr>
          <w:rFonts w:hint="eastAsia" w:cs="Times New Roman"/>
          <w:color w:val="000000"/>
          <w:sz w:val="24"/>
          <w:szCs w:val="24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月</w:t>
      </w:r>
      <w:r>
        <w:rPr>
          <w:rFonts w:hint="eastAsia" w:cs="Times New Roman"/>
          <w:color w:val="000000"/>
          <w:sz w:val="24"/>
          <w:szCs w:val="24"/>
          <w:lang w:val="en-US" w:eastAsia="zh-CN"/>
        </w:rPr>
        <w:t>23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Book Antiqua">
    <w:altName w:val="Segoe Print"/>
    <w:panose1 w:val="02040602050305030304"/>
    <w:charset w:val="00"/>
    <w:family w:val="roman"/>
    <w:pitch w:val="default"/>
    <w:sig w:usb0="00000000" w:usb1="00000000" w:usb2="00000000" w:usb3="00000000" w:csb0="2000009F" w:csb1="DFD7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171657A1"/>
    <w:multiLevelType w:val="multilevel"/>
    <w:tmpl w:val="171657A1"/>
    <w:lvl w:ilvl="0" w:tentative="0">
      <w:start w:val="1"/>
      <w:numFmt w:val="decimal"/>
      <w:suff w:val="nothing"/>
      <w:lvlText w:val="%1 "/>
      <w:lvlJc w:val="left"/>
      <w:pPr>
        <w:ind w:left="0" w:firstLine="0"/>
      </w:pPr>
      <w:rPr>
        <w:rFonts w:hint="default" w:ascii="Book Antiqua" w:hAnsi="Book Antiqua" w:eastAsia="黑体" w:cs="Book Antiqua"/>
        <w:b/>
        <w:bCs/>
        <w:i w:val="0"/>
        <w:iCs w:val="0"/>
        <w:caps w:val="0"/>
        <w:strike w:val="0"/>
        <w:dstrike w:val="0"/>
        <w:vanish w:val="0"/>
        <w:color w:val="000000"/>
        <w:sz w:val="144"/>
        <w:szCs w:val="144"/>
        <w:vertAlign w:val="baseline"/>
      </w:rPr>
    </w:lvl>
    <w:lvl w:ilvl="1" w:tentative="0">
      <w:start w:val="1"/>
      <w:numFmt w:val="decimal"/>
      <w:pStyle w:val="2"/>
      <w:suff w:val="nothing"/>
      <w:lvlText w:val="%1.%2 "/>
      <w:lvlJc w:val="left"/>
      <w:pPr>
        <w:ind w:left="0" w:firstLine="0"/>
      </w:pPr>
      <w:rPr>
        <w:rFonts w:hint="default" w:ascii="Book Antiqua" w:hAnsi="Book Antiqua" w:eastAsia="黑体" w:cs="Book Antiqua"/>
        <w:b w:val="0"/>
        <w:bCs/>
        <w:i w:val="0"/>
        <w:iCs w:val="0"/>
        <w:caps w:val="0"/>
        <w:strike w:val="0"/>
        <w:dstrike w:val="0"/>
        <w:snapToGrid w:val="0"/>
        <w:vanish w:val="0"/>
        <w:color w:val="000000"/>
        <w:spacing w:val="0"/>
        <w:kern w:val="0"/>
        <w:sz w:val="36"/>
        <w:szCs w:val="36"/>
        <w:vertAlign w:val="baseline"/>
      </w:rPr>
    </w:lvl>
    <w:lvl w:ilvl="2" w:tentative="0">
      <w:start w:val="1"/>
      <w:numFmt w:val="decimal"/>
      <w:pStyle w:val="3"/>
      <w:suff w:val="nothing"/>
      <w:lvlText w:val="%1.%2.%3 "/>
      <w:lvlJc w:val="left"/>
      <w:pPr>
        <w:ind w:left="142" w:firstLine="0"/>
      </w:pPr>
    </w:lvl>
    <w:lvl w:ilvl="3" w:tentative="0">
      <w:start w:val="1"/>
      <w:numFmt w:val="decimal"/>
      <w:lvlRestart w:val="1"/>
      <w:pStyle w:val="4"/>
      <w:suff w:val="nothing"/>
      <w:lvlText w:val="%1.%2.%3.%4 "/>
      <w:lvlJc w:val="left"/>
      <w:pPr>
        <w:ind w:left="0" w:firstLine="0"/>
      </w:pPr>
      <w:rPr>
        <w:rFonts w:hint="default" w:ascii="Book Antiqua" w:hAnsi="Book Antiqua" w:eastAsia="黑体" w:cs="Book Antiqua"/>
        <w:bCs/>
        <w:i w:val="0"/>
        <w:iCs w:val="0"/>
        <w:caps w:val="0"/>
        <w:strike w:val="0"/>
        <w:dstrike w:val="0"/>
        <w:vanish w:val="0"/>
        <w:color w:val="000000"/>
        <w:sz w:val="28"/>
        <w:szCs w:val="28"/>
        <w:vertAlign w:val="baseline"/>
      </w:rPr>
    </w:lvl>
    <w:lvl w:ilvl="4" w:tentative="0">
      <w:start w:val="1"/>
      <w:numFmt w:val="decimal"/>
      <w:lvlRestart w:val="1"/>
      <w:pStyle w:val="5"/>
      <w:suff w:val="nothing"/>
      <w:lvlText w:val="%1.%2.%3.%4.%5 "/>
      <w:lvlJc w:val="left"/>
      <w:pPr>
        <w:ind w:left="0" w:firstLine="0"/>
      </w:pPr>
      <w:rPr>
        <w:rFonts w:hint="default" w:ascii="Book Antiqua" w:hAnsi="Book Antiqua" w:eastAsia="黑体" w:cs="Book Antiqua"/>
        <w:bCs/>
        <w:i w:val="0"/>
        <w:iCs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5" w:tentative="0">
      <w:start w:val="1"/>
      <w:numFmt w:val="none"/>
      <w:pStyle w:val="25"/>
      <w:suff w:val="nothing"/>
      <w:lvlText w:val=""/>
      <w:lvlJc w:val="left"/>
      <w:pPr>
        <w:ind w:left="0" w:firstLine="0"/>
      </w:pPr>
      <w:rPr>
        <w:rFonts w:hint="default" w:ascii="Arial" w:hAnsi="Arial" w:cs="Arial"/>
        <w:b/>
        <w:bCs/>
        <w:i w:val="0"/>
        <w:iCs w:val="0"/>
        <w:caps w:val="0"/>
        <w:strike w:val="0"/>
        <w:dstrike w:val="0"/>
        <w:vanish w:val="0"/>
        <w:color w:val="000000"/>
        <w:sz w:val="20"/>
        <w:szCs w:val="20"/>
        <w:vertAlign w:val="baseline"/>
      </w:rPr>
    </w:lvl>
    <w:lvl w:ilvl="6" w:tentative="0">
      <w:start w:val="1"/>
      <w:numFmt w:val="decimal"/>
      <w:pStyle w:val="29"/>
      <w:lvlText w:val="步骤 %7"/>
      <w:lvlJc w:val="right"/>
      <w:pPr>
        <w:tabs>
          <w:tab w:val="left" w:pos="1701"/>
        </w:tabs>
        <w:ind w:left="1701" w:hanging="159"/>
      </w:pPr>
      <w:rPr>
        <w:rFonts w:hint="default" w:ascii="Book Antiqua" w:hAnsi="Book Antiqua" w:eastAsia="黑体" w:cs="Times New Roman"/>
        <w:b w:val="0"/>
        <w:bCs/>
        <w:i w:val="0"/>
        <w:iCs w:val="0"/>
        <w:color w:val="auto"/>
        <w:sz w:val="21"/>
        <w:szCs w:val="21"/>
      </w:rPr>
    </w:lvl>
    <w:lvl w:ilvl="7" w:tentative="0">
      <w:start w:val="1"/>
      <w:numFmt w:val="decimal"/>
      <w:lvlRestart w:val="1"/>
      <w:pStyle w:val="35"/>
      <w:suff w:val="space"/>
      <w:lvlText w:val="图%1-%8"/>
      <w:lvlJc w:val="left"/>
      <w:pPr>
        <w:ind w:left="1701" w:firstLine="0"/>
      </w:pPr>
      <w:rPr>
        <w:rFonts w:hint="default" w:ascii="Times New Roman" w:hAnsi="Times New Roman" w:eastAsia="黑体" w:cs="Book Antiqua"/>
        <w:b w:val="0"/>
        <w:bCs/>
        <w:i w:val="0"/>
        <w:iCs w:val="0"/>
        <w:strike w:val="0"/>
        <w:dstrike w:val="0"/>
        <w:color w:val="000000"/>
        <w:sz w:val="21"/>
        <w:szCs w:val="21"/>
        <w:vertAlign w:val="baseline"/>
      </w:rPr>
    </w:lvl>
    <w:lvl w:ilvl="8" w:tentative="0">
      <w:start w:val="1"/>
      <w:numFmt w:val="decimal"/>
      <w:lvlRestart w:val="1"/>
      <w:pStyle w:val="26"/>
      <w:suff w:val="space"/>
      <w:lvlText w:val="表%1-%9"/>
      <w:lvlJc w:val="left"/>
      <w:pPr>
        <w:ind w:left="1701" w:firstLine="0"/>
      </w:pPr>
      <w:rPr>
        <w:rFonts w:hint="default" w:ascii="Times New Roman" w:hAnsi="Times New Roman" w:eastAsia="黑体"/>
        <w:b w:val="0"/>
        <w:bCs/>
        <w:i w:val="0"/>
        <w:iCs w:val="0"/>
        <w:color w:val="auto"/>
        <w:sz w:val="21"/>
        <w:szCs w:val="21"/>
      </w:rPr>
    </w:lvl>
  </w:abstractNum>
  <w:abstractNum w:abstractNumId="3">
    <w:nsid w:val="6E230785"/>
    <w:multiLevelType w:val="multilevel"/>
    <w:tmpl w:val="6E230785"/>
    <w:lvl w:ilvl="0" w:tentative="0">
      <w:start w:val="1"/>
      <w:numFmt w:val="bullet"/>
      <w:pStyle w:val="34"/>
      <w:lvlText w:val=""/>
      <w:lvlJc w:val="left"/>
      <w:pPr>
        <w:tabs>
          <w:tab w:val="left" w:pos="170"/>
        </w:tabs>
        <w:ind w:left="170" w:hanging="170"/>
      </w:pPr>
      <w:rPr>
        <w:rFonts w:hint="default" w:ascii="Wingdings" w:hAnsi="Wingdings" w:eastAsia="宋体"/>
        <w:b w:val="0"/>
        <w:i w:val="0"/>
        <w:color w:val="auto"/>
        <w:position w:val="3"/>
        <w:sz w:val="13"/>
        <w:szCs w:val="13"/>
      </w:rPr>
    </w:lvl>
    <w:lvl w:ilvl="1" w:tentative="0">
      <w:start w:val="1"/>
      <w:numFmt w:val="lowerLetter"/>
      <w:pStyle w:val="31"/>
      <w:lvlText w:val="%2."/>
      <w:lvlJc w:val="left"/>
      <w:pPr>
        <w:tabs>
          <w:tab w:val="left" w:pos="284"/>
        </w:tabs>
        <w:ind w:left="568" w:hanging="284"/>
      </w:pPr>
      <w:rPr>
        <w:rFonts w:hint="default" w:ascii="Times New Roman" w:hAnsi="Times New Roman" w:cs="Book Antiqua"/>
        <w:b w:val="0"/>
        <w:bCs/>
        <w:i w:val="0"/>
        <w:iCs w:val="0"/>
        <w:sz w:val="21"/>
        <w:szCs w:val="21"/>
        <w:u w:val="none"/>
      </w:rPr>
    </w:lvl>
    <w:lvl w:ilvl="2" w:tentative="0">
      <w:start w:val="1"/>
      <w:numFmt w:val="bullet"/>
      <w:pStyle w:val="32"/>
      <w:lvlText w:val="−"/>
      <w:lvlJc w:val="left"/>
      <w:pPr>
        <w:tabs>
          <w:tab w:val="left" w:pos="568"/>
        </w:tabs>
        <w:ind w:left="568" w:hanging="284"/>
      </w:pPr>
      <w:rPr>
        <w:rFonts w:hint="default" w:ascii="Times New Roman" w:hAnsi="Times New Roman" w:cs="Times New Roman"/>
        <w:sz w:val="16"/>
        <w:szCs w:val="16"/>
      </w:rPr>
    </w:lvl>
    <w:lvl w:ilvl="3" w:tentative="0">
      <w:start w:val="1"/>
      <w:numFmt w:val="decimal"/>
      <w:pStyle w:val="33"/>
      <w:lvlText w:val="%4."/>
      <w:lvlJc w:val="left"/>
      <w:pPr>
        <w:tabs>
          <w:tab w:val="left" w:pos="284"/>
        </w:tabs>
        <w:ind w:left="568" w:hanging="284"/>
      </w:pPr>
      <w:rPr>
        <w:rFonts w:hint="default" w:ascii="Times New Roman" w:hAnsi="Times New Roman" w:cs="Book Antiqua"/>
        <w:b w:val="0"/>
        <w:bCs/>
        <w:i w:val="0"/>
        <w:iCs w:val="0"/>
        <w:sz w:val="21"/>
        <w:szCs w:val="21"/>
        <w:u w:val="none"/>
      </w:rPr>
    </w:lvl>
    <w:lvl w:ilvl="4" w:tentative="0">
      <w:start w:val="1"/>
      <w:numFmt w:val="bullet"/>
      <w:pStyle w:val="38"/>
      <w:lvlText w:val=""/>
      <w:lvlJc w:val="left"/>
      <w:pPr>
        <w:tabs>
          <w:tab w:val="left" w:pos="568"/>
        </w:tabs>
        <w:ind w:left="568" w:hanging="284"/>
      </w:pPr>
      <w:rPr>
        <w:rFonts w:hint="default" w:ascii="Wingdings" w:hAnsi="Wingdings" w:eastAsia="宋体"/>
        <w:b w:val="0"/>
        <w:i w:val="0"/>
        <w:color w:val="auto"/>
        <w:position w:val="3"/>
        <w:sz w:val="13"/>
        <w:szCs w:val="13"/>
      </w:rPr>
    </w:lvl>
    <w:lvl w:ilvl="5" w:tentative="0">
      <w:start w:val="1"/>
      <w:numFmt w:val="decimal"/>
      <w:pStyle w:val="30"/>
      <w:lvlText w:val="%6."/>
      <w:lvlJc w:val="left"/>
      <w:pPr>
        <w:tabs>
          <w:tab w:val="left" w:pos="1985"/>
        </w:tabs>
        <w:ind w:left="1985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21"/>
        <w:szCs w:val="21"/>
      </w:rPr>
    </w:lvl>
    <w:lvl w:ilvl="6" w:tentative="0">
      <w:start w:val="1"/>
      <w:numFmt w:val="decimal"/>
      <w:pStyle w:val="36"/>
      <w:lvlText w:val="%7."/>
      <w:lvlJc w:val="left"/>
      <w:pPr>
        <w:tabs>
          <w:tab w:val="left" w:pos="2359"/>
        </w:tabs>
        <w:ind w:left="2359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18"/>
        <w:szCs w:val="18"/>
      </w:rPr>
    </w:lvl>
    <w:lvl w:ilvl="7" w:tentative="0">
      <w:start w:val="1"/>
      <w:numFmt w:val="decimal"/>
      <w:pStyle w:val="37"/>
      <w:lvlText w:val="%8."/>
      <w:lvlJc w:val="left"/>
      <w:pPr>
        <w:tabs>
          <w:tab w:val="left" w:pos="454"/>
        </w:tabs>
        <w:ind w:left="454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18"/>
        <w:szCs w:val="18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ZTlhMWJlYmM4MDMyNDRkMGJkZWNiNzQxZDViNzAwYTEifQ=="/>
  </w:docVars>
  <w:rsids>
    <w:rsidRoot w:val="00172A27"/>
    <w:rsid w:val="00123FE3"/>
    <w:rsid w:val="001301C5"/>
    <w:rsid w:val="00172A27"/>
    <w:rsid w:val="00477707"/>
    <w:rsid w:val="005603E4"/>
    <w:rsid w:val="00791D96"/>
    <w:rsid w:val="009A3C9A"/>
    <w:rsid w:val="00C424AD"/>
    <w:rsid w:val="00CC1A2E"/>
    <w:rsid w:val="00ED32E4"/>
    <w:rsid w:val="00EE2011"/>
    <w:rsid w:val="00FA736A"/>
    <w:rsid w:val="00FC4153"/>
    <w:rsid w:val="00FD7ED5"/>
    <w:rsid w:val="012D66CB"/>
    <w:rsid w:val="014D3BDD"/>
    <w:rsid w:val="02040FDF"/>
    <w:rsid w:val="02083795"/>
    <w:rsid w:val="02BE3126"/>
    <w:rsid w:val="03393105"/>
    <w:rsid w:val="046B1D8B"/>
    <w:rsid w:val="046E3765"/>
    <w:rsid w:val="05FC2DA4"/>
    <w:rsid w:val="06622CB2"/>
    <w:rsid w:val="068D2EBF"/>
    <w:rsid w:val="06A411DD"/>
    <w:rsid w:val="072D08E0"/>
    <w:rsid w:val="07746E01"/>
    <w:rsid w:val="083A6841"/>
    <w:rsid w:val="08EE3671"/>
    <w:rsid w:val="09117B80"/>
    <w:rsid w:val="09293C1C"/>
    <w:rsid w:val="092A167C"/>
    <w:rsid w:val="0A310FDA"/>
    <w:rsid w:val="0A634ED8"/>
    <w:rsid w:val="0A69025B"/>
    <w:rsid w:val="0AB539B9"/>
    <w:rsid w:val="0B867103"/>
    <w:rsid w:val="0C397098"/>
    <w:rsid w:val="0DA26991"/>
    <w:rsid w:val="0ECB4993"/>
    <w:rsid w:val="0F00541F"/>
    <w:rsid w:val="112A7044"/>
    <w:rsid w:val="123D1FC9"/>
    <w:rsid w:val="12ED5CBA"/>
    <w:rsid w:val="140B63F8"/>
    <w:rsid w:val="142F0FB1"/>
    <w:rsid w:val="1435223A"/>
    <w:rsid w:val="14373C54"/>
    <w:rsid w:val="14C447F8"/>
    <w:rsid w:val="156452D7"/>
    <w:rsid w:val="15983E83"/>
    <w:rsid w:val="164C0FC8"/>
    <w:rsid w:val="176F6C9D"/>
    <w:rsid w:val="17936E30"/>
    <w:rsid w:val="18606150"/>
    <w:rsid w:val="19B32EC3"/>
    <w:rsid w:val="19EC0A79"/>
    <w:rsid w:val="1A786886"/>
    <w:rsid w:val="1C654B13"/>
    <w:rsid w:val="1CC7757C"/>
    <w:rsid w:val="1D5379E4"/>
    <w:rsid w:val="1DC008E5"/>
    <w:rsid w:val="1DD86320"/>
    <w:rsid w:val="1EFF5193"/>
    <w:rsid w:val="1F3E25C9"/>
    <w:rsid w:val="1F8905C9"/>
    <w:rsid w:val="1F9A0F77"/>
    <w:rsid w:val="1FEF3071"/>
    <w:rsid w:val="20205D7D"/>
    <w:rsid w:val="2031368A"/>
    <w:rsid w:val="2039362C"/>
    <w:rsid w:val="24875F4B"/>
    <w:rsid w:val="251E780F"/>
    <w:rsid w:val="25D6438C"/>
    <w:rsid w:val="25E92311"/>
    <w:rsid w:val="26445799"/>
    <w:rsid w:val="2665408D"/>
    <w:rsid w:val="28033B5E"/>
    <w:rsid w:val="28126A09"/>
    <w:rsid w:val="28215CA6"/>
    <w:rsid w:val="29B42C36"/>
    <w:rsid w:val="2A263B34"/>
    <w:rsid w:val="2A6117E0"/>
    <w:rsid w:val="2A8457BC"/>
    <w:rsid w:val="2A8940C2"/>
    <w:rsid w:val="2A9C2048"/>
    <w:rsid w:val="2B975488"/>
    <w:rsid w:val="2BB05A29"/>
    <w:rsid w:val="2BBE1469"/>
    <w:rsid w:val="2C931228"/>
    <w:rsid w:val="2D393A69"/>
    <w:rsid w:val="2E0860D1"/>
    <w:rsid w:val="2E402CEA"/>
    <w:rsid w:val="2E5A20BA"/>
    <w:rsid w:val="2ECB5FE2"/>
    <w:rsid w:val="2ED26038"/>
    <w:rsid w:val="2EDC2A13"/>
    <w:rsid w:val="30CB3B96"/>
    <w:rsid w:val="31F44517"/>
    <w:rsid w:val="321C3EC1"/>
    <w:rsid w:val="325568F8"/>
    <w:rsid w:val="337322A8"/>
    <w:rsid w:val="33D53A32"/>
    <w:rsid w:val="34403FA4"/>
    <w:rsid w:val="34410184"/>
    <w:rsid w:val="34DB5F68"/>
    <w:rsid w:val="35912415"/>
    <w:rsid w:val="37026AE3"/>
    <w:rsid w:val="371778DF"/>
    <w:rsid w:val="37E62326"/>
    <w:rsid w:val="38A511DA"/>
    <w:rsid w:val="38CC7F9C"/>
    <w:rsid w:val="3A1B67E7"/>
    <w:rsid w:val="3A7D6982"/>
    <w:rsid w:val="3AB1520D"/>
    <w:rsid w:val="3AB25E18"/>
    <w:rsid w:val="3C047712"/>
    <w:rsid w:val="3C683B38"/>
    <w:rsid w:val="3C996FEB"/>
    <w:rsid w:val="3CCC5DA0"/>
    <w:rsid w:val="3CD77495"/>
    <w:rsid w:val="3D4445A5"/>
    <w:rsid w:val="3DC27043"/>
    <w:rsid w:val="3DD1395F"/>
    <w:rsid w:val="3E8C010F"/>
    <w:rsid w:val="3EFD65C9"/>
    <w:rsid w:val="400E2C48"/>
    <w:rsid w:val="403A795B"/>
    <w:rsid w:val="4044389B"/>
    <w:rsid w:val="40C03B09"/>
    <w:rsid w:val="41600830"/>
    <w:rsid w:val="41AC096A"/>
    <w:rsid w:val="42100EF9"/>
    <w:rsid w:val="427B074B"/>
    <w:rsid w:val="42925DB2"/>
    <w:rsid w:val="42D40179"/>
    <w:rsid w:val="434B112E"/>
    <w:rsid w:val="443D1A3B"/>
    <w:rsid w:val="4504286C"/>
    <w:rsid w:val="46C97C03"/>
    <w:rsid w:val="471A188F"/>
    <w:rsid w:val="471F1BDF"/>
    <w:rsid w:val="472B5FAC"/>
    <w:rsid w:val="48037B8C"/>
    <w:rsid w:val="48AD79E8"/>
    <w:rsid w:val="48F03340"/>
    <w:rsid w:val="4908486B"/>
    <w:rsid w:val="49B06B1E"/>
    <w:rsid w:val="49DC5C4D"/>
    <w:rsid w:val="4A1B6F15"/>
    <w:rsid w:val="4A44006F"/>
    <w:rsid w:val="4B3450B1"/>
    <w:rsid w:val="4BFB311F"/>
    <w:rsid w:val="4DA31AFF"/>
    <w:rsid w:val="4DB34E2F"/>
    <w:rsid w:val="4DB87F36"/>
    <w:rsid w:val="50DE6FEF"/>
    <w:rsid w:val="513444D8"/>
    <w:rsid w:val="515756D7"/>
    <w:rsid w:val="52871060"/>
    <w:rsid w:val="52ED4007"/>
    <w:rsid w:val="54210D44"/>
    <w:rsid w:val="54227B28"/>
    <w:rsid w:val="554E3DBB"/>
    <w:rsid w:val="55A27C63"/>
    <w:rsid w:val="55A710AE"/>
    <w:rsid w:val="55B35218"/>
    <w:rsid w:val="560F1B9D"/>
    <w:rsid w:val="57BF2D4E"/>
    <w:rsid w:val="57E722A5"/>
    <w:rsid w:val="58B74CBC"/>
    <w:rsid w:val="59717610"/>
    <w:rsid w:val="598A3C77"/>
    <w:rsid w:val="5B2814D9"/>
    <w:rsid w:val="5D4D1D73"/>
    <w:rsid w:val="5D972077"/>
    <w:rsid w:val="5E8E770E"/>
    <w:rsid w:val="5EA925B4"/>
    <w:rsid w:val="5FCA6734"/>
    <w:rsid w:val="609B1E7E"/>
    <w:rsid w:val="6184218B"/>
    <w:rsid w:val="623B7383"/>
    <w:rsid w:val="631321A0"/>
    <w:rsid w:val="63166D1A"/>
    <w:rsid w:val="65922BE0"/>
    <w:rsid w:val="65CF770C"/>
    <w:rsid w:val="680622D3"/>
    <w:rsid w:val="69020B16"/>
    <w:rsid w:val="69B969F2"/>
    <w:rsid w:val="6A605BAB"/>
    <w:rsid w:val="6AC87D14"/>
    <w:rsid w:val="6AF27A26"/>
    <w:rsid w:val="6B0806DC"/>
    <w:rsid w:val="6B2D401B"/>
    <w:rsid w:val="6B427AC6"/>
    <w:rsid w:val="6B686E01"/>
    <w:rsid w:val="6C083654"/>
    <w:rsid w:val="6C094604"/>
    <w:rsid w:val="6C751B3B"/>
    <w:rsid w:val="6CD04C5E"/>
    <w:rsid w:val="6DC37643"/>
    <w:rsid w:val="6E182D60"/>
    <w:rsid w:val="6E354925"/>
    <w:rsid w:val="6E4A295F"/>
    <w:rsid w:val="6EAE5472"/>
    <w:rsid w:val="6ED924EF"/>
    <w:rsid w:val="6FE03650"/>
    <w:rsid w:val="70327008"/>
    <w:rsid w:val="70926DFA"/>
    <w:rsid w:val="70DD3DED"/>
    <w:rsid w:val="710B2708"/>
    <w:rsid w:val="724471CD"/>
    <w:rsid w:val="734653CB"/>
    <w:rsid w:val="74963E13"/>
    <w:rsid w:val="75061B64"/>
    <w:rsid w:val="75292AD1"/>
    <w:rsid w:val="7553467E"/>
    <w:rsid w:val="760D37CC"/>
    <w:rsid w:val="777C4360"/>
    <w:rsid w:val="780A1526"/>
    <w:rsid w:val="78A27DF6"/>
    <w:rsid w:val="79870010"/>
    <w:rsid w:val="79E2018B"/>
    <w:rsid w:val="7B3B62E0"/>
    <w:rsid w:val="7C7F737F"/>
    <w:rsid w:val="7CF20C20"/>
    <w:rsid w:val="7DA154A0"/>
    <w:rsid w:val="7DD345AE"/>
    <w:rsid w:val="7E921C8E"/>
    <w:rsid w:val="7F263D7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link w:val="17"/>
    <w:autoRedefine/>
    <w:qFormat/>
    <w:uiPriority w:val="0"/>
    <w:pPr>
      <w:keepNext/>
      <w:keepLines/>
      <w:widowControl/>
      <w:numPr>
        <w:ilvl w:val="1"/>
        <w:numId w:val="1"/>
      </w:numPr>
      <w:topLinePunct/>
      <w:adjustRightInd w:val="0"/>
      <w:snapToGrid w:val="0"/>
      <w:spacing w:before="600" w:after="160" w:line="240" w:lineRule="atLeast"/>
      <w:jc w:val="left"/>
      <w:outlineLvl w:val="1"/>
    </w:pPr>
    <w:rPr>
      <w:rFonts w:hint="eastAsia" w:ascii="Book Antiqua" w:hAnsi="Book Antiqua" w:eastAsia="黑体" w:cs="Book Antiqua"/>
      <w:bCs/>
      <w:kern w:val="0"/>
      <w:sz w:val="36"/>
      <w:szCs w:val="36"/>
      <w:lang w:eastAsia="en-US"/>
    </w:rPr>
  </w:style>
  <w:style w:type="paragraph" w:styleId="3">
    <w:name w:val="heading 3"/>
    <w:basedOn w:val="1"/>
    <w:next w:val="1"/>
    <w:link w:val="18"/>
    <w:autoRedefine/>
    <w:qFormat/>
    <w:uiPriority w:val="0"/>
    <w:pPr>
      <w:keepNext/>
      <w:keepLines/>
      <w:widowControl/>
      <w:numPr>
        <w:ilvl w:val="2"/>
        <w:numId w:val="1"/>
      </w:numPr>
      <w:topLinePunct/>
      <w:adjustRightInd w:val="0"/>
      <w:snapToGrid w:val="0"/>
      <w:spacing w:before="200" w:after="160" w:line="240" w:lineRule="atLeast"/>
      <w:jc w:val="left"/>
      <w:outlineLvl w:val="2"/>
    </w:pPr>
    <w:rPr>
      <w:rFonts w:hint="eastAsia" w:ascii="Book Antiqua" w:hAnsi="Book Antiqua" w:eastAsia="黑体" w:cs="宋体"/>
      <w:kern w:val="0"/>
      <w:sz w:val="32"/>
      <w:szCs w:val="32"/>
    </w:rPr>
  </w:style>
  <w:style w:type="paragraph" w:styleId="4">
    <w:name w:val="heading 4"/>
    <w:basedOn w:val="1"/>
    <w:next w:val="1"/>
    <w:link w:val="19"/>
    <w:autoRedefine/>
    <w:qFormat/>
    <w:uiPriority w:val="0"/>
    <w:pPr>
      <w:keepNext/>
      <w:keepLines/>
      <w:widowControl/>
      <w:numPr>
        <w:ilvl w:val="3"/>
        <w:numId w:val="1"/>
      </w:numPr>
      <w:topLinePunct/>
      <w:adjustRightInd w:val="0"/>
      <w:snapToGrid w:val="0"/>
      <w:spacing w:before="160" w:after="160" w:line="240" w:lineRule="atLeast"/>
      <w:jc w:val="left"/>
      <w:outlineLvl w:val="3"/>
    </w:pPr>
    <w:rPr>
      <w:rFonts w:hint="eastAsia" w:ascii="Book Antiqua" w:hAnsi="Book Antiqua" w:eastAsia="黑体" w:cs="宋体"/>
      <w:kern w:val="0"/>
      <w:sz w:val="28"/>
      <w:szCs w:val="28"/>
    </w:rPr>
  </w:style>
  <w:style w:type="paragraph" w:styleId="5">
    <w:name w:val="heading 5"/>
    <w:basedOn w:val="1"/>
    <w:next w:val="1"/>
    <w:link w:val="20"/>
    <w:autoRedefine/>
    <w:qFormat/>
    <w:uiPriority w:val="0"/>
    <w:pPr>
      <w:keepNext/>
      <w:keepLines/>
      <w:widowControl/>
      <w:numPr>
        <w:ilvl w:val="4"/>
        <w:numId w:val="1"/>
      </w:numPr>
      <w:topLinePunct/>
      <w:adjustRightInd w:val="0"/>
      <w:snapToGrid w:val="0"/>
      <w:spacing w:before="160" w:after="160" w:line="240" w:lineRule="atLeast"/>
      <w:jc w:val="left"/>
      <w:outlineLvl w:val="4"/>
    </w:pPr>
    <w:rPr>
      <w:rFonts w:hint="eastAsia" w:ascii="Book Antiqua" w:hAnsi="Book Antiqua" w:eastAsia="黑体" w:cs="宋体"/>
      <w:kern w:val="0"/>
      <w:sz w:val="24"/>
    </w:rPr>
  </w:style>
  <w:style w:type="character" w:default="1" w:styleId="14">
    <w:name w:val="Default Paragraph Font"/>
    <w:autoRedefine/>
    <w:semiHidden/>
    <w:unhideWhenUsed/>
    <w:qFormat/>
    <w:uiPriority w:val="1"/>
  </w:style>
  <w:style w:type="table" w:default="1" w:styleId="1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autoRedefine/>
    <w:qFormat/>
    <w:uiPriority w:val="99"/>
    <w:pPr>
      <w:ind w:firstLine="420" w:firstLineChars="200"/>
    </w:pPr>
  </w:style>
  <w:style w:type="paragraph" w:styleId="7">
    <w:name w:val="Body Text Indent"/>
    <w:basedOn w:val="1"/>
    <w:autoRedefine/>
    <w:qFormat/>
    <w:uiPriority w:val="0"/>
    <w:pPr>
      <w:spacing w:after="120"/>
      <w:ind w:left="420" w:leftChars="200"/>
    </w:pPr>
    <w:rPr>
      <w:lang w:val="zh-CN"/>
    </w:rPr>
  </w:style>
  <w:style w:type="paragraph" w:styleId="8">
    <w:name w:val="Plain Text"/>
    <w:basedOn w:val="1"/>
    <w:next w:val="1"/>
    <w:autoRedefine/>
    <w:qFormat/>
    <w:uiPriority w:val="0"/>
    <w:rPr>
      <w:rFonts w:ascii="宋体" w:hAnsi="Courier New"/>
      <w:szCs w:val="20"/>
    </w:rPr>
  </w:style>
  <w:style w:type="paragraph" w:styleId="9">
    <w:name w:val="Balloon Text"/>
    <w:basedOn w:val="1"/>
    <w:link w:val="39"/>
    <w:autoRedefine/>
    <w:qFormat/>
    <w:uiPriority w:val="0"/>
    <w:rPr>
      <w:sz w:val="18"/>
      <w:szCs w:val="18"/>
    </w:rPr>
  </w:style>
  <w:style w:type="paragraph" w:styleId="10">
    <w:name w:val="footer"/>
    <w:basedOn w:val="1"/>
    <w:link w:val="16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15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Body Text First Indent 2"/>
    <w:basedOn w:val="7"/>
    <w:autoRedefine/>
    <w:unhideWhenUsed/>
    <w:qFormat/>
    <w:uiPriority w:val="99"/>
    <w:pPr>
      <w:widowControl w:val="0"/>
      <w:snapToGrid/>
      <w:spacing w:after="120" w:line="240" w:lineRule="auto"/>
      <w:ind w:left="420" w:leftChars="200" w:firstLine="420" w:firstLineChars="200"/>
    </w:pPr>
    <w:rPr>
      <w:rFonts w:asciiTheme="minorHAnsi" w:hAnsiTheme="minorHAnsi" w:eastAsiaTheme="minorEastAsia"/>
      <w:spacing w:val="0"/>
      <w:sz w:val="21"/>
      <w:szCs w:val="24"/>
    </w:rPr>
  </w:style>
  <w:style w:type="character" w:customStyle="1" w:styleId="15">
    <w:name w:val="页眉 Char"/>
    <w:basedOn w:val="14"/>
    <w:link w:val="11"/>
    <w:autoRedefine/>
    <w:qFormat/>
    <w:uiPriority w:val="0"/>
    <w:rPr>
      <w:kern w:val="2"/>
      <w:sz w:val="18"/>
      <w:szCs w:val="18"/>
    </w:rPr>
  </w:style>
  <w:style w:type="character" w:customStyle="1" w:styleId="16">
    <w:name w:val="页脚 Char"/>
    <w:basedOn w:val="14"/>
    <w:link w:val="10"/>
    <w:autoRedefine/>
    <w:qFormat/>
    <w:uiPriority w:val="0"/>
    <w:rPr>
      <w:kern w:val="2"/>
      <w:sz w:val="18"/>
      <w:szCs w:val="18"/>
    </w:rPr>
  </w:style>
  <w:style w:type="character" w:customStyle="1" w:styleId="17">
    <w:name w:val="标题 2 Char"/>
    <w:basedOn w:val="14"/>
    <w:link w:val="2"/>
    <w:autoRedefine/>
    <w:qFormat/>
    <w:uiPriority w:val="0"/>
    <w:rPr>
      <w:rFonts w:ascii="Book Antiqua" w:hAnsi="Book Antiqua" w:eastAsia="黑体" w:cs="Book Antiqua"/>
      <w:bCs/>
      <w:sz w:val="36"/>
      <w:szCs w:val="36"/>
      <w:lang w:eastAsia="en-US"/>
    </w:rPr>
  </w:style>
  <w:style w:type="character" w:customStyle="1" w:styleId="18">
    <w:name w:val="标题 3 Char"/>
    <w:basedOn w:val="14"/>
    <w:link w:val="3"/>
    <w:autoRedefine/>
    <w:qFormat/>
    <w:uiPriority w:val="0"/>
    <w:rPr>
      <w:rFonts w:ascii="Book Antiqua" w:hAnsi="Book Antiqua" w:eastAsia="黑体" w:cs="宋体"/>
      <w:sz w:val="32"/>
      <w:szCs w:val="32"/>
    </w:rPr>
  </w:style>
  <w:style w:type="character" w:customStyle="1" w:styleId="19">
    <w:name w:val="标题 4 Char"/>
    <w:basedOn w:val="14"/>
    <w:link w:val="4"/>
    <w:qFormat/>
    <w:uiPriority w:val="0"/>
    <w:rPr>
      <w:rFonts w:ascii="Book Antiqua" w:hAnsi="Book Antiqua" w:eastAsia="黑体" w:cs="宋体"/>
      <w:sz w:val="28"/>
      <w:szCs w:val="28"/>
    </w:rPr>
  </w:style>
  <w:style w:type="character" w:customStyle="1" w:styleId="20">
    <w:name w:val="标题 5 Char"/>
    <w:basedOn w:val="14"/>
    <w:link w:val="5"/>
    <w:autoRedefine/>
    <w:qFormat/>
    <w:uiPriority w:val="0"/>
    <w:rPr>
      <w:rFonts w:ascii="Book Antiqua" w:hAnsi="Book Antiqua" w:eastAsia="黑体" w:cs="宋体"/>
      <w:sz w:val="24"/>
      <w:szCs w:val="24"/>
    </w:rPr>
  </w:style>
  <w:style w:type="paragraph" w:styleId="21">
    <w:name w:val="List Paragraph"/>
    <w:basedOn w:val="1"/>
    <w:link w:val="22"/>
    <w:autoRedefine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22">
    <w:name w:val="列出段落 Char"/>
    <w:link w:val="21"/>
    <w:autoRedefine/>
    <w:qFormat/>
    <w:uiPriority w:val="34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23">
    <w:name w:val="Item Step in table Char Char"/>
    <w:link w:val="24"/>
    <w:autoRedefine/>
    <w:qFormat/>
    <w:uiPriority w:val="0"/>
    <w:rPr>
      <w:rFonts w:cs="Arial"/>
      <w:bCs/>
      <w:szCs w:val="28"/>
    </w:rPr>
  </w:style>
  <w:style w:type="paragraph" w:customStyle="1" w:styleId="24">
    <w:name w:val="Item Step in table"/>
    <w:basedOn w:val="5"/>
    <w:link w:val="23"/>
    <w:autoRedefine/>
    <w:qFormat/>
    <w:uiPriority w:val="0"/>
    <w:pPr>
      <w:numPr>
        <w:ilvl w:val="0"/>
        <w:numId w:val="0"/>
      </w:numPr>
      <w:tabs>
        <w:tab w:val="left" w:pos="420"/>
      </w:tabs>
      <w:spacing w:before="80" w:after="80" w:line="240" w:lineRule="auto"/>
      <w:ind w:left="420" w:hanging="420"/>
    </w:pPr>
    <w:rPr>
      <w:rFonts w:hint="default" w:ascii="Times New Roman" w:hAnsi="Times New Roman" w:eastAsia="宋体" w:cs="Arial"/>
      <w:bCs/>
      <w:sz w:val="20"/>
      <w:szCs w:val="28"/>
    </w:rPr>
  </w:style>
  <w:style w:type="paragraph" w:customStyle="1" w:styleId="25">
    <w:name w:val="Block Label"/>
    <w:basedOn w:val="1"/>
    <w:next w:val="1"/>
    <w:autoRedefine/>
    <w:qFormat/>
    <w:uiPriority w:val="0"/>
    <w:pPr>
      <w:keepNext/>
      <w:keepLines/>
      <w:widowControl/>
      <w:numPr>
        <w:ilvl w:val="5"/>
        <w:numId w:val="1"/>
      </w:numPr>
      <w:topLinePunct/>
      <w:adjustRightInd w:val="0"/>
      <w:snapToGrid w:val="0"/>
      <w:spacing w:before="300" w:after="80" w:line="240" w:lineRule="atLeast"/>
      <w:jc w:val="left"/>
    </w:pPr>
    <w:rPr>
      <w:rFonts w:hint="eastAsia" w:ascii="Book Antiqua" w:hAnsi="Book Antiqua" w:eastAsia="黑体" w:cs="Book Antiqua"/>
      <w:bCs/>
      <w:kern w:val="0"/>
      <w:sz w:val="26"/>
      <w:szCs w:val="26"/>
    </w:rPr>
  </w:style>
  <w:style w:type="paragraph" w:customStyle="1" w:styleId="26">
    <w:name w:val="Table Description"/>
    <w:basedOn w:val="1"/>
    <w:next w:val="1"/>
    <w:autoRedefine/>
    <w:qFormat/>
    <w:uiPriority w:val="0"/>
    <w:pPr>
      <w:keepNext/>
      <w:widowControl/>
      <w:numPr>
        <w:ilvl w:val="8"/>
        <w:numId w:val="1"/>
      </w:numPr>
      <w:topLinePunct/>
      <w:adjustRightInd w:val="0"/>
      <w:snapToGrid w:val="0"/>
      <w:spacing w:before="320" w:after="80" w:line="240" w:lineRule="atLeast"/>
      <w:jc w:val="left"/>
    </w:pPr>
    <w:rPr>
      <w:rFonts w:hint="eastAsia" w:eastAsia="黑体" w:cs="Arial"/>
      <w:spacing w:val="-4"/>
      <w:szCs w:val="21"/>
    </w:rPr>
  </w:style>
  <w:style w:type="character" w:customStyle="1" w:styleId="27">
    <w:name w:val="Table Text Char"/>
    <w:link w:val="28"/>
    <w:autoRedefine/>
    <w:qFormat/>
    <w:uiPriority w:val="0"/>
    <w:rPr>
      <w:rFonts w:cs="Arial"/>
      <w:szCs w:val="21"/>
    </w:rPr>
  </w:style>
  <w:style w:type="paragraph" w:customStyle="1" w:styleId="28">
    <w:name w:val="Table Text"/>
    <w:basedOn w:val="1"/>
    <w:link w:val="27"/>
    <w:autoRedefine/>
    <w:qFormat/>
    <w:uiPriority w:val="0"/>
    <w:pPr>
      <w:topLinePunct/>
      <w:adjustRightInd w:val="0"/>
      <w:snapToGrid w:val="0"/>
      <w:spacing w:before="80" w:after="80" w:line="240" w:lineRule="atLeast"/>
      <w:jc w:val="left"/>
    </w:pPr>
    <w:rPr>
      <w:rFonts w:cs="Arial"/>
      <w:kern w:val="0"/>
      <w:sz w:val="20"/>
      <w:szCs w:val="21"/>
    </w:rPr>
  </w:style>
  <w:style w:type="paragraph" w:customStyle="1" w:styleId="29">
    <w:name w:val="Step"/>
    <w:basedOn w:val="1"/>
    <w:autoRedefine/>
    <w:qFormat/>
    <w:uiPriority w:val="0"/>
    <w:pPr>
      <w:widowControl/>
      <w:numPr>
        <w:ilvl w:val="6"/>
        <w:numId w:val="1"/>
      </w:numPr>
      <w:topLinePunct/>
      <w:adjustRightInd w:val="0"/>
      <w:snapToGrid w:val="0"/>
      <w:spacing w:before="160" w:after="160" w:line="240" w:lineRule="atLeast"/>
      <w:jc w:val="left"/>
    </w:pPr>
    <w:rPr>
      <w:rFonts w:hint="eastAsia" w:cs="Arial"/>
      <w:snapToGrid w:val="0"/>
      <w:kern w:val="0"/>
      <w:szCs w:val="21"/>
    </w:rPr>
  </w:style>
  <w:style w:type="paragraph" w:customStyle="1" w:styleId="30">
    <w:name w:val="CAUTION Text Step"/>
    <w:basedOn w:val="1"/>
    <w:autoRedefine/>
    <w:qFormat/>
    <w:uiPriority w:val="0"/>
    <w:pPr>
      <w:keepNext/>
      <w:keepLines/>
      <w:widowControl/>
      <w:numPr>
        <w:ilvl w:val="5"/>
        <w:numId w:val="2"/>
      </w:numPr>
      <w:pBdr>
        <w:bottom w:val="single" w:color="auto" w:sz="12" w:space="4"/>
      </w:pBdr>
      <w:topLinePunct/>
      <w:adjustRightInd w:val="0"/>
      <w:snapToGrid w:val="0"/>
      <w:spacing w:before="80" w:after="80" w:line="240" w:lineRule="atLeast"/>
      <w:jc w:val="left"/>
    </w:pPr>
    <w:rPr>
      <w:rFonts w:hint="eastAsia" w:eastAsia="楷体_GB2312" w:cs="Arial"/>
      <w:iCs/>
      <w:szCs w:val="21"/>
    </w:rPr>
  </w:style>
  <w:style w:type="paragraph" w:customStyle="1" w:styleId="31">
    <w:name w:val="Sub Item Step in Table"/>
    <w:autoRedefine/>
    <w:qFormat/>
    <w:uiPriority w:val="0"/>
    <w:pPr>
      <w:numPr>
        <w:ilvl w:val="1"/>
        <w:numId w:val="2"/>
      </w:numPr>
      <w:adjustRightInd w:val="0"/>
      <w:snapToGrid w:val="0"/>
      <w:spacing w:before="80" w:after="80" w:line="240" w:lineRule="atLeast"/>
    </w:pPr>
    <w:rPr>
      <w:rFonts w:hint="eastAsia" w:ascii="Times New Roman" w:hAnsi="Times New Roman" w:eastAsia="宋体" w:cs="Arial"/>
      <w:sz w:val="21"/>
      <w:szCs w:val="21"/>
      <w:lang w:val="en-US" w:eastAsia="zh-CN" w:bidi="ar-SA"/>
    </w:rPr>
  </w:style>
  <w:style w:type="paragraph" w:customStyle="1" w:styleId="32">
    <w:name w:val="Sub Item List in Table"/>
    <w:basedOn w:val="1"/>
    <w:autoRedefine/>
    <w:qFormat/>
    <w:uiPriority w:val="0"/>
    <w:pPr>
      <w:widowControl/>
      <w:numPr>
        <w:ilvl w:val="2"/>
        <w:numId w:val="2"/>
      </w:numPr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szCs w:val="21"/>
    </w:rPr>
  </w:style>
  <w:style w:type="paragraph" w:customStyle="1" w:styleId="33">
    <w:name w:val="Sub Item Step in Table List"/>
    <w:autoRedefine/>
    <w:qFormat/>
    <w:uiPriority w:val="0"/>
    <w:pPr>
      <w:numPr>
        <w:ilvl w:val="3"/>
        <w:numId w:val="2"/>
      </w:numPr>
      <w:adjustRightInd w:val="0"/>
      <w:snapToGrid w:val="0"/>
      <w:spacing w:before="80" w:after="80" w:line="240" w:lineRule="atLeast"/>
    </w:pPr>
    <w:rPr>
      <w:rFonts w:hint="eastAsia" w:ascii="Times New Roman" w:hAnsi="Times New Roman" w:eastAsia="宋体" w:cs="Arial"/>
      <w:sz w:val="21"/>
      <w:szCs w:val="21"/>
      <w:lang w:val="en-US" w:eastAsia="zh-CN" w:bidi="ar-SA"/>
    </w:rPr>
  </w:style>
  <w:style w:type="paragraph" w:customStyle="1" w:styleId="34">
    <w:name w:val="Item List in Table"/>
    <w:basedOn w:val="1"/>
    <w:autoRedefine/>
    <w:qFormat/>
    <w:uiPriority w:val="99"/>
    <w:pPr>
      <w:widowControl/>
      <w:numPr>
        <w:ilvl w:val="0"/>
        <w:numId w:val="2"/>
      </w:numPr>
      <w:tabs>
        <w:tab w:val="left" w:pos="284"/>
      </w:tabs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kern w:val="0"/>
      <w:szCs w:val="21"/>
    </w:rPr>
  </w:style>
  <w:style w:type="paragraph" w:customStyle="1" w:styleId="35">
    <w:name w:val="Figure Description"/>
    <w:next w:val="1"/>
    <w:autoRedefine/>
    <w:qFormat/>
    <w:uiPriority w:val="0"/>
    <w:pPr>
      <w:keepNext/>
      <w:numPr>
        <w:ilvl w:val="7"/>
        <w:numId w:val="1"/>
      </w:numPr>
      <w:adjustRightInd w:val="0"/>
      <w:snapToGrid w:val="0"/>
      <w:spacing w:before="320" w:after="80" w:line="240" w:lineRule="atLeast"/>
    </w:pPr>
    <w:rPr>
      <w:rFonts w:ascii="Times New Roman" w:hAnsi="Times New Roman" w:eastAsia="黑体" w:cs="Arial"/>
      <w:spacing w:val="-4"/>
      <w:kern w:val="2"/>
      <w:sz w:val="21"/>
      <w:szCs w:val="21"/>
      <w:lang w:val="en-US" w:eastAsia="zh-CN" w:bidi="ar-SA"/>
    </w:rPr>
  </w:style>
  <w:style w:type="paragraph" w:customStyle="1" w:styleId="36">
    <w:name w:val="Notes Text Step"/>
    <w:basedOn w:val="30"/>
    <w:autoRedefine/>
    <w:qFormat/>
    <w:uiPriority w:val="0"/>
    <w:pPr>
      <w:numPr>
        <w:ilvl w:val="6"/>
      </w:numPr>
      <w:pBdr>
        <w:bottom w:val="none" w:color="auto" w:sz="0" w:space="0"/>
      </w:pBdr>
      <w:spacing w:before="40" w:line="200" w:lineRule="atLeast"/>
    </w:pPr>
    <w:rPr>
      <w:sz w:val="18"/>
      <w:szCs w:val="18"/>
    </w:rPr>
  </w:style>
  <w:style w:type="paragraph" w:customStyle="1" w:styleId="37">
    <w:name w:val="Notes Text Step in Table"/>
    <w:autoRedefine/>
    <w:qFormat/>
    <w:uiPriority w:val="0"/>
    <w:pPr>
      <w:numPr>
        <w:ilvl w:val="7"/>
        <w:numId w:val="2"/>
      </w:numPr>
      <w:spacing w:before="40" w:after="80" w:line="200" w:lineRule="atLeast"/>
    </w:pPr>
    <w:rPr>
      <w:rFonts w:ascii="Times New Roman" w:hAnsi="Times New Roman" w:eastAsia="楷体_GB2312" w:cs="楷体_GB2312"/>
      <w:sz w:val="18"/>
      <w:szCs w:val="18"/>
      <w:lang w:val="en-US" w:eastAsia="zh-CN" w:bidi="ar-SA"/>
    </w:rPr>
  </w:style>
  <w:style w:type="paragraph" w:customStyle="1" w:styleId="38">
    <w:name w:val="Sub Item List in Table Step"/>
    <w:basedOn w:val="1"/>
    <w:autoRedefine/>
    <w:qFormat/>
    <w:uiPriority w:val="0"/>
    <w:pPr>
      <w:widowControl/>
      <w:numPr>
        <w:ilvl w:val="4"/>
        <w:numId w:val="2"/>
      </w:numPr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szCs w:val="21"/>
    </w:rPr>
  </w:style>
  <w:style w:type="character" w:customStyle="1" w:styleId="39">
    <w:name w:val="批注框文本 Char"/>
    <w:basedOn w:val="14"/>
    <w:link w:val="9"/>
    <w:autoRedefine/>
    <w:qFormat/>
    <w:uiPriority w:val="0"/>
    <w:rPr>
      <w:kern w:val="2"/>
      <w:sz w:val="18"/>
      <w:szCs w:val="18"/>
    </w:rPr>
  </w:style>
  <w:style w:type="paragraph" w:customStyle="1" w:styleId="40">
    <w:name w:val="样式 宋体 小四 行距: 1.5 倍行距 首行缩进:  2 字符"/>
    <w:basedOn w:val="1"/>
    <w:autoRedefine/>
    <w:qFormat/>
    <w:uiPriority w:val="99"/>
    <w:pPr>
      <w:spacing w:line="360" w:lineRule="auto"/>
      <w:ind w:firstLine="480" w:firstLineChars="200"/>
    </w:pPr>
    <w:rPr>
      <w:rFonts w:ascii="Times New Roman" w:hAnsi="Times New Roman" w:cs="宋体"/>
    </w:rPr>
  </w:style>
  <w:style w:type="character" w:customStyle="1" w:styleId="41">
    <w:name w:val="font21"/>
    <w:basedOn w:val="1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42">
    <w:name w:val="font31"/>
    <w:basedOn w:val="14"/>
    <w:autoRedefine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43">
    <w:name w:val="font41"/>
    <w:basedOn w:val="1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  <w:vertAlign w:val="superscript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846</Words>
  <Characters>1197</Characters>
  <Lines>61</Lines>
  <Paragraphs>17</Paragraphs>
  <TotalTime>5</TotalTime>
  <ScaleCrop>false</ScaleCrop>
  <LinksUpToDate>false</LinksUpToDate>
  <CharactersWithSpaces>1308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永远的yu</cp:lastModifiedBy>
  <cp:lastPrinted>2022-10-20T06:50:00Z</cp:lastPrinted>
  <dcterms:modified xsi:type="dcterms:W3CDTF">2024-04-23T06:12:04Z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B75484C30A0D48A998196F431A9A3E69</vt:lpwstr>
  </property>
</Properties>
</file>