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Times New Roman"/>
          <w:b/>
          <w:color w:val="000000"/>
          <w:sz w:val="30"/>
          <w:szCs w:val="30"/>
          <w:lang w:val="en-US" w:eastAsia="zh-CN"/>
        </w:rPr>
      </w:pPr>
      <w:r>
        <w:rPr>
          <w:rFonts w:hint="eastAsia" w:cs="Times New Roman"/>
          <w:b/>
          <w:color w:val="000000"/>
          <w:sz w:val="30"/>
          <w:szCs w:val="30"/>
          <w:lang w:eastAsia="zh-CN"/>
        </w:rPr>
        <w:t>广州交投集团营运道路2023-2026年度机电养护综合管养项目（S73 南沙港快速路及S76黄榄快速干线）路段</w:t>
      </w:r>
      <w:r>
        <w:rPr>
          <w:rFonts w:hint="eastAsia" w:cs="Times New Roman"/>
          <w:b/>
          <w:color w:val="000000"/>
          <w:sz w:val="30"/>
          <w:szCs w:val="30"/>
          <w:lang w:val="en-US" w:eastAsia="zh-CN"/>
        </w:rPr>
        <w:t>CPC卡读写器</w:t>
      </w:r>
      <w:bookmarkStart w:id="3" w:name="_GoBack"/>
      <w:bookmarkEnd w:id="3"/>
      <w:r>
        <w:rPr>
          <w:rFonts w:hint="eastAsia" w:cs="Times New Roman"/>
          <w:b/>
          <w:color w:val="000000"/>
          <w:sz w:val="30"/>
          <w:szCs w:val="30"/>
          <w:lang w:eastAsia="zh-CN"/>
        </w:rPr>
        <w:t>采购意向征集公告</w:t>
      </w:r>
      <w:r>
        <w:rPr>
          <w:rFonts w:hint="eastAsia" w:cs="Times New Roman"/>
          <w:b/>
          <w:color w:val="000000"/>
          <w:sz w:val="30"/>
          <w:szCs w:val="30"/>
          <w:lang w:val="en-US" w:eastAsia="zh-CN"/>
        </w:rPr>
        <w:t xml:space="preserve"> </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项目概况</w:t>
      </w:r>
    </w:p>
    <w:p>
      <w:pPr>
        <w:wordWrap w:val="0"/>
        <w:topLinePunct/>
        <w:spacing w:line="360" w:lineRule="auto"/>
        <w:ind w:firstLine="566" w:firstLineChars="236"/>
        <w:rPr>
          <w:rFonts w:hint="eastAsia" w:cs="Times New Roman"/>
          <w:bCs/>
          <w:snapToGrid w:val="0"/>
          <w:kern w:val="0"/>
          <w:sz w:val="24"/>
          <w:szCs w:val="24"/>
          <w:lang w:val="en-US" w:eastAsia="zh-CN"/>
        </w:rPr>
      </w:pPr>
      <w:r>
        <w:rPr>
          <w:rFonts w:hint="default" w:ascii="Times New Roman" w:hAnsi="Times New Roman" w:eastAsia="宋体" w:cs="Times New Roman"/>
          <w:bCs/>
          <w:snapToGrid w:val="0"/>
          <w:kern w:val="0"/>
          <w:sz w:val="24"/>
          <w:szCs w:val="24"/>
        </w:rPr>
        <w:t>1.1项目名称：</w:t>
      </w:r>
      <w:r>
        <w:rPr>
          <w:rFonts w:hint="eastAsia" w:ascii="Times New Roman" w:hAnsi="Times New Roman" w:eastAsia="宋体" w:cs="Times New Roman"/>
          <w:bCs/>
          <w:snapToGrid w:val="0"/>
          <w:kern w:val="0"/>
          <w:sz w:val="24"/>
          <w:szCs w:val="24"/>
          <w:lang w:eastAsia="zh-CN"/>
        </w:rPr>
        <w:t>广州交投集团营运道路2023-2026年度机电养护综合管养项目-</w:t>
      </w:r>
      <w:r>
        <w:rPr>
          <w:rFonts w:hint="eastAsia" w:cs="Times New Roman"/>
          <w:bCs/>
          <w:snapToGrid w:val="0"/>
          <w:kern w:val="0"/>
          <w:sz w:val="24"/>
          <w:szCs w:val="24"/>
          <w:lang w:val="en-US" w:eastAsia="zh-CN"/>
        </w:rPr>
        <w:t>南沙港</w:t>
      </w:r>
      <w:r>
        <w:rPr>
          <w:rFonts w:hint="eastAsia" w:ascii="Times New Roman" w:hAnsi="Times New Roman" w:eastAsia="宋体" w:cs="Times New Roman"/>
          <w:bCs/>
          <w:snapToGrid w:val="0"/>
          <w:kern w:val="0"/>
          <w:sz w:val="24"/>
          <w:szCs w:val="24"/>
          <w:lang w:val="en-US" w:eastAsia="zh-CN"/>
        </w:rPr>
        <w:t>路段</w:t>
      </w:r>
    </w:p>
    <w:p>
      <w:pPr>
        <w:wordWrap w:val="0"/>
        <w:topLinePunct/>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1.2项目地点：广州市</w:t>
      </w:r>
    </w:p>
    <w:p>
      <w:pPr>
        <w:numPr>
          <w:ilvl w:val="0"/>
          <w:numId w:val="3"/>
        </w:numPr>
        <w:topLinePunct/>
        <w:spacing w:line="360" w:lineRule="auto"/>
        <w:outlineLvl w:val="1"/>
        <w:rPr>
          <w:rFonts w:hint="default" w:ascii="Times New Roman" w:hAnsi="Times New Roman" w:eastAsia="宋体" w:cs="Times New Roman"/>
          <w:b/>
          <w:sz w:val="24"/>
          <w:szCs w:val="24"/>
        </w:rPr>
      </w:pPr>
      <w:r>
        <w:rPr>
          <w:rFonts w:hint="default" w:ascii="Times New Roman" w:hAnsi="Times New Roman" w:eastAsia="宋体" w:cs="Times New Roman"/>
          <w:b/>
          <w:snapToGrid w:val="0"/>
          <w:kern w:val="0"/>
          <w:sz w:val="24"/>
          <w:szCs w:val="24"/>
        </w:rPr>
        <w:t>具体工程量清单</w:t>
      </w:r>
    </w:p>
    <w:tbl>
      <w:tblPr>
        <w:tblStyle w:val="13"/>
        <w:tblW w:w="80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875"/>
        <w:gridCol w:w="1275"/>
        <w:gridCol w:w="885"/>
        <w:gridCol w:w="975"/>
        <w:gridCol w:w="2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072"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1875"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材料</w:t>
            </w:r>
            <w:r>
              <w:rPr>
                <w:rFonts w:hint="eastAsia" w:ascii="Times New Roman" w:hAnsi="Times New Roman" w:cs="Times New Roman"/>
                <w:sz w:val="21"/>
                <w:szCs w:val="21"/>
                <w:lang w:val="en-US" w:eastAsia="zh-CN"/>
              </w:rPr>
              <w:t>/设备</w:t>
            </w:r>
            <w:r>
              <w:rPr>
                <w:rFonts w:hint="default" w:ascii="Times New Roman" w:hAnsi="Times New Roman" w:eastAsia="宋体" w:cs="Times New Roman"/>
                <w:sz w:val="21"/>
                <w:szCs w:val="21"/>
              </w:rPr>
              <w:t>名称</w:t>
            </w:r>
          </w:p>
        </w:tc>
        <w:tc>
          <w:tcPr>
            <w:tcW w:w="1275"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品牌/</w:t>
            </w:r>
            <w:r>
              <w:rPr>
                <w:rFonts w:hint="default" w:ascii="Times New Roman" w:hAnsi="Times New Roman" w:eastAsia="宋体" w:cs="Times New Roman"/>
                <w:sz w:val="21"/>
                <w:szCs w:val="21"/>
                <w:lang w:val="en-US" w:eastAsia="zh-CN"/>
              </w:rPr>
              <w:t>型号</w:t>
            </w:r>
          </w:p>
        </w:tc>
        <w:tc>
          <w:tcPr>
            <w:tcW w:w="885"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单位</w:t>
            </w:r>
          </w:p>
        </w:tc>
        <w:tc>
          <w:tcPr>
            <w:tcW w:w="975"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w:t>
            </w:r>
          </w:p>
        </w:tc>
        <w:tc>
          <w:tcPr>
            <w:tcW w:w="2005"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072"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409-2-1-1-19-2</w:t>
            </w:r>
          </w:p>
        </w:tc>
        <w:tc>
          <w:tcPr>
            <w:tcW w:w="1875"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CPC卡读写器</w:t>
            </w:r>
          </w:p>
        </w:tc>
        <w:tc>
          <w:tcPr>
            <w:tcW w:w="1275"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p>
        </w:tc>
        <w:tc>
          <w:tcPr>
            <w:tcW w:w="885"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套</w:t>
            </w:r>
          </w:p>
        </w:tc>
        <w:tc>
          <w:tcPr>
            <w:tcW w:w="975"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w:t>
            </w:r>
          </w:p>
        </w:tc>
        <w:tc>
          <w:tcPr>
            <w:tcW w:w="2005"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p>
        </w:tc>
      </w:tr>
    </w:tbl>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清单说明：</w:t>
      </w:r>
    </w:p>
    <w:p>
      <w:pPr>
        <w:numPr>
          <w:ilvl w:val="0"/>
          <w:numId w:val="4"/>
        </w:numPr>
        <w:wordWrap w:val="0"/>
        <w:topLinePunct/>
        <w:spacing w:line="360" w:lineRule="auto"/>
        <w:ind w:firstLine="566" w:firstLineChars="236"/>
        <w:rPr>
          <w:rFonts w:hint="default" w:ascii="Times New Roman" w:hAnsi="Times New Roman" w:eastAsia="宋体" w:cs="Times New Roman"/>
          <w:sz w:val="24"/>
          <w:szCs w:val="24"/>
        </w:rPr>
      </w:pPr>
      <w:r>
        <w:rPr>
          <w:rFonts w:hint="eastAsia" w:cs="Times New Roman"/>
          <w:bCs/>
          <w:snapToGrid w:val="0"/>
          <w:kern w:val="0"/>
          <w:sz w:val="24"/>
          <w:szCs w:val="24"/>
          <w:lang w:val="en-US" w:eastAsia="zh-CN"/>
        </w:rPr>
        <w:t xml:space="preserve"> </w:t>
      </w:r>
      <w:r>
        <w:rPr>
          <w:rFonts w:hint="default" w:ascii="Times New Roman" w:hAnsi="Times New Roman" w:eastAsia="宋体" w:cs="Times New Roman"/>
          <w:bCs/>
          <w:snapToGrid w:val="0"/>
          <w:kern w:val="0"/>
          <w:sz w:val="24"/>
          <w:szCs w:val="24"/>
        </w:rPr>
        <w:t>包括</w:t>
      </w:r>
      <w:r>
        <w:rPr>
          <w:rFonts w:hint="eastAsia" w:cs="Times New Roman"/>
          <w:bCs/>
          <w:snapToGrid w:val="0"/>
          <w:kern w:val="0"/>
          <w:sz w:val="24"/>
          <w:szCs w:val="24"/>
          <w:lang w:val="en-US" w:eastAsia="zh-CN"/>
        </w:rPr>
        <w:t>运输费、指导安装调试费、</w:t>
      </w:r>
      <w:r>
        <w:rPr>
          <w:rFonts w:hint="default" w:ascii="Times New Roman" w:hAnsi="Times New Roman" w:eastAsia="宋体" w:cs="Times New Roman"/>
          <w:bCs/>
          <w:snapToGrid w:val="0"/>
          <w:kern w:val="0"/>
          <w:sz w:val="24"/>
          <w:szCs w:val="24"/>
        </w:rPr>
        <w:t>保险费、税费、试运行及缺陷的维护等一切费用；</w:t>
      </w:r>
    </w:p>
    <w:p>
      <w:pPr>
        <w:pStyle w:val="6"/>
        <w:numPr>
          <w:ilvl w:val="0"/>
          <w:numId w:val="4"/>
        </w:numPr>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最高限价：</w:t>
      </w:r>
      <w:r>
        <w:rPr>
          <w:rFonts w:hint="eastAsia" w:cs="Times New Roman"/>
          <w:bCs/>
          <w:snapToGrid w:val="0"/>
          <w:kern w:val="0"/>
          <w:sz w:val="24"/>
          <w:szCs w:val="24"/>
          <w:lang w:val="en-US" w:eastAsia="zh-CN"/>
        </w:rPr>
        <w:t>11000.00元</w:t>
      </w:r>
      <w:r>
        <w:rPr>
          <w:rFonts w:hint="default" w:ascii="Times New Roman" w:hAnsi="Times New Roman" w:eastAsia="宋体" w:cs="Times New Roman"/>
          <w:bCs/>
          <w:snapToGrid w:val="0"/>
          <w:kern w:val="0"/>
          <w:sz w:val="24"/>
          <w:szCs w:val="24"/>
        </w:rPr>
        <w:t>。</w:t>
      </w:r>
    </w:p>
    <w:p>
      <w:pPr>
        <w:numPr>
          <w:ilvl w:val="0"/>
          <w:numId w:val="0"/>
        </w:numPr>
        <w:topLinePunct/>
        <w:spacing w:line="360" w:lineRule="auto"/>
        <w:outlineLvl w:val="1"/>
        <w:rPr>
          <w:rFonts w:hint="default" w:ascii="Times New Roman" w:hAnsi="Times New Roman" w:eastAsia="宋体" w:cs="Times New Roman"/>
          <w:b/>
          <w:snapToGrid w:val="0"/>
          <w:kern w:val="0"/>
          <w:sz w:val="24"/>
          <w:szCs w:val="24"/>
        </w:rPr>
      </w:pP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eastAsia" w:cs="Times New Roman"/>
          <w:b/>
          <w:snapToGrid w:val="0"/>
          <w:kern w:val="0"/>
          <w:sz w:val="24"/>
          <w:szCs w:val="24"/>
          <w:lang w:eastAsia="zh-CN"/>
        </w:rPr>
        <w:t>设备参数</w:t>
      </w:r>
    </w:p>
    <w:p>
      <w:pPr>
        <w:spacing w:line="360" w:lineRule="auto"/>
        <w:ind w:firstLine="413" w:firstLineChars="196"/>
        <w:rPr>
          <w:b/>
        </w:rPr>
      </w:pPr>
      <w:r>
        <w:rPr>
          <w:b/>
        </w:rPr>
        <w:t>CPC卡读写器</w:t>
      </w:r>
    </w:p>
    <w:p>
      <w:pPr>
        <w:tabs>
          <w:tab w:val="left" w:pos="567"/>
        </w:tabs>
        <w:adjustRightInd w:val="0"/>
        <w:snapToGrid w:val="0"/>
        <w:spacing w:line="360" w:lineRule="auto"/>
        <w:ind w:firstLine="420" w:firstLineChars="200"/>
      </w:pPr>
      <w:r>
        <w:t>一、功能要求</w:t>
      </w:r>
    </w:p>
    <w:p>
      <w:pPr>
        <w:adjustRightInd w:val="0"/>
        <w:snapToGrid w:val="0"/>
        <w:spacing w:line="360" w:lineRule="auto"/>
        <w:ind w:firstLine="420" w:firstLineChars="200"/>
      </w:pPr>
      <w:r>
        <w:t>1.CPC卡读写器用于读写CPC复合卡的有源标签和（或）非接触式IC卡中的信息，发行（读写）CPC复合卡，设置复合卡的工作状态。</w:t>
      </w:r>
    </w:p>
    <w:p>
      <w:pPr>
        <w:adjustRightInd w:val="0"/>
        <w:snapToGrid w:val="0"/>
        <w:spacing w:line="360" w:lineRule="auto"/>
        <w:ind w:firstLine="420" w:firstLineChars="200"/>
      </w:pPr>
      <w:r>
        <w:t>2.CPC卡读写器主要由读写核心单元、读写天线和接口等组成。满足RFID复合卡的读写功能要求，并且符合JR/T 0025.10-2005、ISO/IEC 7816和ISO/IEC 14443 TYPE-A标准的相关规定。</w:t>
      </w:r>
    </w:p>
    <w:p>
      <w:pPr>
        <w:adjustRightInd w:val="0"/>
        <w:snapToGrid w:val="0"/>
        <w:spacing w:line="360" w:lineRule="auto"/>
        <w:ind w:firstLine="420" w:firstLineChars="200"/>
      </w:pPr>
      <w:r>
        <w:t xml:space="preserve">3.CPC卡读写器能对符合全国高速公路应用的复合通行卡、逻辑加密卡（非接触式IC 卡）和双界面CPU 卡进行读写及相关操作，具有SAM 认证模块，SAM模块采用本标准之卡片应用要求规定的接触式CPU 卡（PSAM 卡），可以完成本标准之车道系统处理流程。 </w:t>
      </w:r>
    </w:p>
    <w:p>
      <w:pPr>
        <w:adjustRightInd w:val="0"/>
        <w:snapToGrid w:val="0"/>
        <w:spacing w:line="360" w:lineRule="auto"/>
        <w:ind w:firstLine="420" w:firstLineChars="200"/>
      </w:pPr>
      <w:r>
        <w:t xml:space="preserve">4.CPC卡读写器应具有极强的抗干扰能力。机箱应全封闭，防尘、防水、防震、免维护。车辆上或车道附近使用的无线电设备及各种电气装置不应对复合读写器工作造成干扰或错误读/写。 </w:t>
      </w:r>
    </w:p>
    <w:p>
      <w:pPr>
        <w:adjustRightInd w:val="0"/>
        <w:snapToGrid w:val="0"/>
        <w:spacing w:line="360" w:lineRule="auto"/>
        <w:ind w:firstLine="420" w:firstLineChars="200"/>
      </w:pPr>
      <w:r>
        <w:t>5.CPC卡读写器应配套提供密码校验等操作的标准库函数。</w:t>
      </w:r>
    </w:p>
    <w:p>
      <w:pPr>
        <w:tabs>
          <w:tab w:val="left" w:pos="567"/>
        </w:tabs>
        <w:adjustRightInd w:val="0"/>
        <w:snapToGrid w:val="0"/>
        <w:spacing w:line="360" w:lineRule="auto"/>
        <w:ind w:firstLine="420" w:firstLineChars="200"/>
      </w:pPr>
      <w:r>
        <w:t>二、主要技术指标</w:t>
      </w:r>
    </w:p>
    <w:p>
      <w:pPr>
        <w:ind w:firstLine="420" w:firstLineChars="200"/>
        <w:jc w:val="left"/>
      </w:pPr>
      <w:r>
        <w:t>（1）物理层技术要求</w:t>
      </w:r>
    </w:p>
    <w:p>
      <w:pPr>
        <w:ind w:left="420" w:leftChars="200" w:firstLine="420" w:firstLineChars="200"/>
        <w:jc w:val="left"/>
      </w:pPr>
      <w:r>
        <w:t>用于读写复合通行卡（CPC）的有源标签和（或）IC 卡中的信息，发行复合通行卡，设置复合通行卡的工作状态。复合卡读写器物理层技术要求应满足下表规定。</w:t>
      </w:r>
    </w:p>
    <w:p>
      <w:pPr>
        <w:jc w:val="left"/>
      </w:pPr>
    </w:p>
    <w:tbl>
      <w:tblPr>
        <w:tblStyle w:val="13"/>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189"/>
        <w:gridCol w:w="3230"/>
        <w:gridCol w:w="4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736" w:type="dxa"/>
            <w:noWrap w:val="0"/>
            <w:vAlign w:val="center"/>
          </w:tcPr>
          <w:p>
            <w:pPr>
              <w:jc w:val="center"/>
            </w:pPr>
            <w:r>
              <w:t>序号</w:t>
            </w:r>
          </w:p>
        </w:tc>
        <w:tc>
          <w:tcPr>
            <w:tcW w:w="4419" w:type="dxa"/>
            <w:gridSpan w:val="2"/>
            <w:noWrap w:val="0"/>
            <w:vAlign w:val="center"/>
          </w:tcPr>
          <w:p>
            <w:pPr>
              <w:jc w:val="center"/>
            </w:pPr>
            <w:r>
              <w:t>项   目</w:t>
            </w:r>
          </w:p>
        </w:tc>
        <w:tc>
          <w:tcPr>
            <w:tcW w:w="4027" w:type="dxa"/>
            <w:noWrap w:val="0"/>
            <w:vAlign w:val="center"/>
          </w:tcPr>
          <w:p>
            <w:pPr>
              <w:jc w:val="center"/>
            </w:pPr>
            <w: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36" w:type="dxa"/>
            <w:vMerge w:val="restart"/>
            <w:noWrap w:val="0"/>
            <w:vAlign w:val="center"/>
          </w:tcPr>
          <w:p>
            <w:pPr>
              <w:jc w:val="center"/>
            </w:pPr>
            <w:r>
              <w:t>1</w:t>
            </w:r>
          </w:p>
        </w:tc>
        <w:tc>
          <w:tcPr>
            <w:tcW w:w="1189" w:type="dxa"/>
            <w:vMerge w:val="restart"/>
            <w:noWrap w:val="0"/>
            <w:vAlign w:val="center"/>
          </w:tcPr>
          <w:p>
            <w:pPr>
              <w:jc w:val="center"/>
            </w:pPr>
            <w:r>
              <w:t xml:space="preserve">5.8GHz </w:t>
            </w:r>
          </w:p>
          <w:p>
            <w:pPr>
              <w:jc w:val="center"/>
            </w:pPr>
            <w:r>
              <w:t>无线链路</w:t>
            </w:r>
          </w:p>
        </w:tc>
        <w:tc>
          <w:tcPr>
            <w:tcW w:w="3230" w:type="dxa"/>
            <w:noWrap w:val="0"/>
            <w:vAlign w:val="center"/>
          </w:tcPr>
          <w:p>
            <w:r>
              <w:t>载波频率</w:t>
            </w:r>
          </w:p>
        </w:tc>
        <w:tc>
          <w:tcPr>
            <w:tcW w:w="4027" w:type="dxa"/>
            <w:noWrap w:val="0"/>
            <w:vAlign w:val="center"/>
          </w:tcPr>
          <w:p>
            <w:r>
              <w:t>5.8GHz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36" w:type="dxa"/>
            <w:vMerge w:val="continue"/>
            <w:noWrap w:val="0"/>
            <w:vAlign w:val="center"/>
          </w:tcPr>
          <w:p>
            <w:pPr>
              <w:jc w:val="center"/>
            </w:pPr>
          </w:p>
        </w:tc>
        <w:tc>
          <w:tcPr>
            <w:tcW w:w="1189" w:type="dxa"/>
            <w:vMerge w:val="continue"/>
            <w:noWrap w:val="0"/>
            <w:vAlign w:val="center"/>
          </w:tcPr>
          <w:p>
            <w:pPr>
              <w:jc w:val="center"/>
            </w:pPr>
          </w:p>
        </w:tc>
        <w:tc>
          <w:tcPr>
            <w:tcW w:w="3230" w:type="dxa"/>
            <w:noWrap w:val="0"/>
            <w:vAlign w:val="center"/>
          </w:tcPr>
          <w:p>
            <w:r>
              <w:t>信道占用带宽</w:t>
            </w:r>
          </w:p>
        </w:tc>
        <w:tc>
          <w:tcPr>
            <w:tcW w:w="4027" w:type="dxa"/>
            <w:noWrap w:val="0"/>
            <w:vAlign w:val="center"/>
          </w:tcPr>
          <w:p>
            <w:r>
              <w:t>≤5MHz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36" w:type="dxa"/>
            <w:vMerge w:val="continue"/>
            <w:noWrap w:val="0"/>
            <w:vAlign w:val="center"/>
          </w:tcPr>
          <w:p>
            <w:pPr>
              <w:jc w:val="center"/>
            </w:pPr>
          </w:p>
        </w:tc>
        <w:tc>
          <w:tcPr>
            <w:tcW w:w="1189" w:type="dxa"/>
            <w:vMerge w:val="continue"/>
            <w:noWrap w:val="0"/>
            <w:vAlign w:val="center"/>
          </w:tcPr>
          <w:p>
            <w:pPr>
              <w:jc w:val="center"/>
            </w:pPr>
          </w:p>
        </w:tc>
        <w:tc>
          <w:tcPr>
            <w:tcW w:w="3230" w:type="dxa"/>
            <w:noWrap w:val="0"/>
            <w:vAlign w:val="center"/>
          </w:tcPr>
          <w:p>
            <w:r>
              <w:t>频率容限</w:t>
            </w:r>
          </w:p>
        </w:tc>
        <w:tc>
          <w:tcPr>
            <w:tcW w:w="4027" w:type="dxa"/>
            <w:noWrap w:val="0"/>
            <w:vAlign w:val="center"/>
          </w:tcPr>
          <w:p>
            <w:r>
              <w:t>±200ppm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36" w:type="dxa"/>
            <w:vMerge w:val="continue"/>
            <w:noWrap w:val="0"/>
            <w:vAlign w:val="center"/>
          </w:tcPr>
          <w:p>
            <w:pPr>
              <w:jc w:val="center"/>
            </w:pPr>
          </w:p>
        </w:tc>
        <w:tc>
          <w:tcPr>
            <w:tcW w:w="1189" w:type="dxa"/>
            <w:vMerge w:val="continue"/>
            <w:noWrap w:val="0"/>
            <w:vAlign w:val="center"/>
          </w:tcPr>
          <w:p>
            <w:pPr>
              <w:jc w:val="center"/>
            </w:pPr>
          </w:p>
        </w:tc>
        <w:tc>
          <w:tcPr>
            <w:tcW w:w="3230" w:type="dxa"/>
            <w:noWrap w:val="0"/>
            <w:vAlign w:val="center"/>
          </w:tcPr>
          <w:p>
            <w:r>
              <w:t>e.i.r.p</w:t>
            </w:r>
          </w:p>
        </w:tc>
        <w:tc>
          <w:tcPr>
            <w:tcW w:w="4027" w:type="dxa"/>
            <w:noWrap w:val="0"/>
            <w:vAlign w:val="center"/>
          </w:tcPr>
          <w:p>
            <w:r>
              <w:t>≤+10 dbm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36" w:type="dxa"/>
            <w:vMerge w:val="continue"/>
            <w:noWrap w:val="0"/>
            <w:vAlign w:val="center"/>
          </w:tcPr>
          <w:p>
            <w:pPr>
              <w:jc w:val="center"/>
            </w:pPr>
          </w:p>
        </w:tc>
        <w:tc>
          <w:tcPr>
            <w:tcW w:w="1189" w:type="dxa"/>
            <w:vMerge w:val="continue"/>
            <w:noWrap w:val="0"/>
            <w:vAlign w:val="center"/>
          </w:tcPr>
          <w:p>
            <w:pPr>
              <w:jc w:val="center"/>
            </w:pPr>
          </w:p>
        </w:tc>
        <w:tc>
          <w:tcPr>
            <w:tcW w:w="3230" w:type="dxa"/>
            <w:noWrap w:val="0"/>
            <w:vAlign w:val="center"/>
          </w:tcPr>
          <w:p>
            <w:r>
              <w:t>杂散发射30MHz-1000MHz</w:t>
            </w:r>
          </w:p>
        </w:tc>
        <w:tc>
          <w:tcPr>
            <w:tcW w:w="4027" w:type="dxa"/>
            <w:noWrap w:val="0"/>
            <w:vAlign w:val="center"/>
          </w:tcPr>
          <w:p>
            <w:r>
              <w:t>≤-36 dbm/100kHz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36" w:type="dxa"/>
            <w:vMerge w:val="continue"/>
            <w:noWrap w:val="0"/>
            <w:vAlign w:val="center"/>
          </w:tcPr>
          <w:p>
            <w:pPr>
              <w:jc w:val="center"/>
            </w:pPr>
          </w:p>
        </w:tc>
        <w:tc>
          <w:tcPr>
            <w:tcW w:w="1189" w:type="dxa"/>
            <w:vMerge w:val="continue"/>
            <w:noWrap w:val="0"/>
            <w:vAlign w:val="center"/>
          </w:tcPr>
          <w:p>
            <w:pPr>
              <w:jc w:val="center"/>
            </w:pPr>
          </w:p>
        </w:tc>
        <w:tc>
          <w:tcPr>
            <w:tcW w:w="3230" w:type="dxa"/>
            <w:noWrap w:val="0"/>
            <w:vAlign w:val="center"/>
          </w:tcPr>
          <w:p>
            <w:pPr>
              <w:jc w:val="left"/>
            </w:pPr>
            <w:r>
              <w:t>杂散发射400MHz-2483.5MHz</w:t>
            </w:r>
          </w:p>
        </w:tc>
        <w:tc>
          <w:tcPr>
            <w:tcW w:w="4027" w:type="dxa"/>
            <w:noWrap w:val="0"/>
            <w:vAlign w:val="center"/>
          </w:tcPr>
          <w:p>
            <w:r>
              <w:t>≤-40 dbm/1MHz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36" w:type="dxa"/>
            <w:vMerge w:val="continue"/>
            <w:noWrap w:val="0"/>
            <w:vAlign w:val="center"/>
          </w:tcPr>
          <w:p>
            <w:pPr>
              <w:jc w:val="center"/>
            </w:pPr>
          </w:p>
        </w:tc>
        <w:tc>
          <w:tcPr>
            <w:tcW w:w="1189" w:type="dxa"/>
            <w:vMerge w:val="continue"/>
            <w:noWrap w:val="0"/>
            <w:vAlign w:val="center"/>
          </w:tcPr>
          <w:p>
            <w:pPr>
              <w:jc w:val="center"/>
            </w:pPr>
          </w:p>
        </w:tc>
        <w:tc>
          <w:tcPr>
            <w:tcW w:w="3230" w:type="dxa"/>
            <w:noWrap w:val="0"/>
            <w:vAlign w:val="center"/>
          </w:tcPr>
          <w:p>
            <w:pPr>
              <w:jc w:val="left"/>
            </w:pPr>
            <w:r>
              <w:t>杂散发射3400MHz-3530MHz</w:t>
            </w:r>
          </w:p>
        </w:tc>
        <w:tc>
          <w:tcPr>
            <w:tcW w:w="4027" w:type="dxa"/>
            <w:noWrap w:val="0"/>
            <w:vAlign w:val="center"/>
          </w:tcPr>
          <w:p>
            <w:r>
              <w:t>≤-40 dbm/1MHz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36" w:type="dxa"/>
            <w:vMerge w:val="continue"/>
            <w:noWrap w:val="0"/>
            <w:vAlign w:val="center"/>
          </w:tcPr>
          <w:p>
            <w:pPr>
              <w:jc w:val="center"/>
            </w:pPr>
          </w:p>
        </w:tc>
        <w:tc>
          <w:tcPr>
            <w:tcW w:w="1189" w:type="dxa"/>
            <w:vMerge w:val="continue"/>
            <w:noWrap w:val="0"/>
            <w:vAlign w:val="center"/>
          </w:tcPr>
          <w:p>
            <w:pPr>
              <w:jc w:val="center"/>
            </w:pPr>
          </w:p>
        </w:tc>
        <w:tc>
          <w:tcPr>
            <w:tcW w:w="3230" w:type="dxa"/>
            <w:noWrap w:val="0"/>
            <w:vAlign w:val="center"/>
          </w:tcPr>
          <w:p>
            <w:pPr>
              <w:jc w:val="left"/>
            </w:pPr>
            <w:r>
              <w:t>杂散发射5725MHz-5850MHz</w:t>
            </w:r>
          </w:p>
        </w:tc>
        <w:tc>
          <w:tcPr>
            <w:tcW w:w="4027" w:type="dxa"/>
            <w:noWrap w:val="0"/>
            <w:vAlign w:val="center"/>
          </w:tcPr>
          <w:p>
            <w:r>
              <w:t>≤-33dbm/100kHz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36" w:type="dxa"/>
            <w:vMerge w:val="continue"/>
            <w:noWrap w:val="0"/>
            <w:vAlign w:val="center"/>
          </w:tcPr>
          <w:p>
            <w:pPr>
              <w:jc w:val="center"/>
            </w:pPr>
          </w:p>
        </w:tc>
        <w:tc>
          <w:tcPr>
            <w:tcW w:w="1189" w:type="dxa"/>
            <w:vMerge w:val="continue"/>
            <w:noWrap w:val="0"/>
            <w:vAlign w:val="center"/>
          </w:tcPr>
          <w:p>
            <w:pPr>
              <w:jc w:val="center"/>
            </w:pPr>
          </w:p>
        </w:tc>
        <w:tc>
          <w:tcPr>
            <w:tcW w:w="3230" w:type="dxa"/>
            <w:noWrap w:val="0"/>
            <w:vAlign w:val="center"/>
          </w:tcPr>
          <w:p>
            <w:r>
              <w:t>杂散发射其他1GHz-20GHz</w:t>
            </w:r>
          </w:p>
        </w:tc>
        <w:tc>
          <w:tcPr>
            <w:tcW w:w="4027" w:type="dxa"/>
            <w:noWrap w:val="0"/>
            <w:vAlign w:val="center"/>
          </w:tcPr>
          <w:p>
            <w:r>
              <w:t>≤-30 dbm/1MHz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36" w:type="dxa"/>
            <w:vMerge w:val="continue"/>
            <w:noWrap w:val="0"/>
            <w:vAlign w:val="center"/>
          </w:tcPr>
          <w:p>
            <w:pPr>
              <w:jc w:val="center"/>
            </w:pPr>
          </w:p>
        </w:tc>
        <w:tc>
          <w:tcPr>
            <w:tcW w:w="1189" w:type="dxa"/>
            <w:vMerge w:val="continue"/>
            <w:noWrap w:val="0"/>
            <w:vAlign w:val="center"/>
          </w:tcPr>
          <w:p>
            <w:pPr>
              <w:jc w:val="center"/>
            </w:pPr>
          </w:p>
        </w:tc>
        <w:tc>
          <w:tcPr>
            <w:tcW w:w="3230" w:type="dxa"/>
            <w:noWrap w:val="0"/>
            <w:vAlign w:val="center"/>
          </w:tcPr>
          <w:p>
            <w:r>
              <w:t>接收灵敏度</w:t>
            </w:r>
          </w:p>
        </w:tc>
        <w:tc>
          <w:tcPr>
            <w:tcW w:w="4027" w:type="dxa"/>
            <w:noWrap w:val="0"/>
            <w:vAlign w:val="center"/>
          </w:tcPr>
          <w:p>
            <w:r>
              <w:t>≤-65 dbm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36" w:type="dxa"/>
            <w:vMerge w:val="continue"/>
            <w:noWrap w:val="0"/>
            <w:vAlign w:val="center"/>
          </w:tcPr>
          <w:p>
            <w:pPr>
              <w:jc w:val="center"/>
            </w:pPr>
          </w:p>
        </w:tc>
        <w:tc>
          <w:tcPr>
            <w:tcW w:w="1189" w:type="dxa"/>
            <w:vMerge w:val="continue"/>
            <w:noWrap w:val="0"/>
            <w:vAlign w:val="center"/>
          </w:tcPr>
          <w:p>
            <w:pPr>
              <w:jc w:val="center"/>
            </w:pPr>
          </w:p>
        </w:tc>
        <w:tc>
          <w:tcPr>
            <w:tcW w:w="3230" w:type="dxa"/>
            <w:noWrap w:val="0"/>
            <w:vAlign w:val="center"/>
          </w:tcPr>
          <w:p>
            <w:r>
              <w:t>调制方式</w:t>
            </w:r>
          </w:p>
        </w:tc>
        <w:tc>
          <w:tcPr>
            <w:tcW w:w="4027" w:type="dxa"/>
            <w:noWrap w:val="0"/>
            <w:vAlign w:val="center"/>
          </w:tcPr>
          <w:p>
            <w:r>
              <w:t>ASK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36" w:type="dxa"/>
            <w:vMerge w:val="continue"/>
            <w:noWrap w:val="0"/>
            <w:vAlign w:val="center"/>
          </w:tcPr>
          <w:p>
            <w:pPr>
              <w:jc w:val="center"/>
            </w:pPr>
          </w:p>
        </w:tc>
        <w:tc>
          <w:tcPr>
            <w:tcW w:w="1189" w:type="dxa"/>
            <w:vMerge w:val="continue"/>
            <w:noWrap w:val="0"/>
            <w:vAlign w:val="center"/>
          </w:tcPr>
          <w:p>
            <w:pPr>
              <w:jc w:val="center"/>
            </w:pPr>
          </w:p>
        </w:tc>
        <w:tc>
          <w:tcPr>
            <w:tcW w:w="3230" w:type="dxa"/>
            <w:noWrap w:val="0"/>
            <w:vAlign w:val="center"/>
          </w:tcPr>
          <w:p>
            <w:r>
              <w:t>调制系数</w:t>
            </w:r>
          </w:p>
        </w:tc>
        <w:tc>
          <w:tcPr>
            <w:tcW w:w="4027" w:type="dxa"/>
            <w:noWrap w:val="0"/>
            <w:vAlign w:val="center"/>
          </w:tcPr>
          <w:p>
            <w:r>
              <w:t>0.7—0.9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36" w:type="dxa"/>
            <w:vMerge w:val="continue"/>
            <w:noWrap w:val="0"/>
            <w:vAlign w:val="center"/>
          </w:tcPr>
          <w:p>
            <w:pPr>
              <w:jc w:val="center"/>
            </w:pPr>
          </w:p>
        </w:tc>
        <w:tc>
          <w:tcPr>
            <w:tcW w:w="1189" w:type="dxa"/>
            <w:vMerge w:val="continue"/>
            <w:noWrap w:val="0"/>
            <w:vAlign w:val="center"/>
          </w:tcPr>
          <w:p>
            <w:pPr>
              <w:jc w:val="center"/>
            </w:pPr>
          </w:p>
        </w:tc>
        <w:tc>
          <w:tcPr>
            <w:tcW w:w="3230" w:type="dxa"/>
            <w:noWrap w:val="0"/>
            <w:vAlign w:val="center"/>
          </w:tcPr>
          <w:p>
            <w:r>
              <w:t>编码方式</w:t>
            </w:r>
          </w:p>
        </w:tc>
        <w:tc>
          <w:tcPr>
            <w:tcW w:w="4027" w:type="dxa"/>
            <w:noWrap w:val="0"/>
            <w:vAlign w:val="center"/>
          </w:tcPr>
          <w:p>
            <w:r>
              <w:t>FMO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36" w:type="dxa"/>
            <w:vMerge w:val="continue"/>
            <w:noWrap w:val="0"/>
            <w:vAlign w:val="center"/>
          </w:tcPr>
          <w:p>
            <w:pPr>
              <w:jc w:val="center"/>
            </w:pPr>
          </w:p>
        </w:tc>
        <w:tc>
          <w:tcPr>
            <w:tcW w:w="1189" w:type="dxa"/>
            <w:vMerge w:val="continue"/>
            <w:noWrap w:val="0"/>
            <w:vAlign w:val="center"/>
          </w:tcPr>
          <w:p>
            <w:pPr>
              <w:jc w:val="center"/>
            </w:pPr>
          </w:p>
        </w:tc>
        <w:tc>
          <w:tcPr>
            <w:tcW w:w="3230" w:type="dxa"/>
            <w:noWrap w:val="0"/>
            <w:vAlign w:val="center"/>
          </w:tcPr>
          <w:p>
            <w:r>
              <w:t>位速率</w:t>
            </w:r>
          </w:p>
        </w:tc>
        <w:tc>
          <w:tcPr>
            <w:tcW w:w="4027" w:type="dxa"/>
            <w:noWrap w:val="0"/>
            <w:vAlign w:val="center"/>
          </w:tcPr>
          <w:p>
            <w:r>
              <w:t>512 kbps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36" w:type="dxa"/>
            <w:vMerge w:val="continue"/>
            <w:noWrap w:val="0"/>
            <w:vAlign w:val="center"/>
          </w:tcPr>
          <w:p>
            <w:pPr>
              <w:jc w:val="center"/>
            </w:pPr>
          </w:p>
        </w:tc>
        <w:tc>
          <w:tcPr>
            <w:tcW w:w="1189" w:type="dxa"/>
            <w:vMerge w:val="continue"/>
            <w:noWrap w:val="0"/>
            <w:vAlign w:val="center"/>
          </w:tcPr>
          <w:p>
            <w:pPr>
              <w:jc w:val="center"/>
            </w:pPr>
          </w:p>
        </w:tc>
        <w:tc>
          <w:tcPr>
            <w:tcW w:w="3230" w:type="dxa"/>
            <w:noWrap w:val="0"/>
            <w:vAlign w:val="center"/>
          </w:tcPr>
          <w:p>
            <w:r>
              <w:t>位时钟精度</w:t>
            </w:r>
          </w:p>
        </w:tc>
        <w:tc>
          <w:tcPr>
            <w:tcW w:w="4027" w:type="dxa"/>
            <w:noWrap w:val="0"/>
            <w:vAlign w:val="center"/>
          </w:tcPr>
          <w:p>
            <w:r>
              <w:t>±1000×10-6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736" w:type="dxa"/>
            <w:vMerge w:val="continue"/>
            <w:noWrap w:val="0"/>
            <w:vAlign w:val="center"/>
          </w:tcPr>
          <w:p>
            <w:pPr>
              <w:jc w:val="center"/>
            </w:pPr>
          </w:p>
        </w:tc>
        <w:tc>
          <w:tcPr>
            <w:tcW w:w="1189" w:type="dxa"/>
            <w:vMerge w:val="continue"/>
            <w:noWrap w:val="0"/>
            <w:vAlign w:val="center"/>
          </w:tcPr>
          <w:p>
            <w:pPr>
              <w:jc w:val="center"/>
            </w:pPr>
          </w:p>
        </w:tc>
        <w:tc>
          <w:tcPr>
            <w:tcW w:w="3230" w:type="dxa"/>
            <w:noWrap w:val="0"/>
            <w:vAlign w:val="center"/>
          </w:tcPr>
          <w:p>
            <w:r>
              <w:t>唤醒方式</w:t>
            </w:r>
          </w:p>
        </w:tc>
        <w:tc>
          <w:tcPr>
            <w:tcW w:w="4027" w:type="dxa"/>
            <w:noWrap w:val="0"/>
            <w:vAlign w:val="center"/>
          </w:tcPr>
          <w:p>
            <w:r>
              <w:t>14k 方波唤醒或整车通信帧信号唤醒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36" w:type="dxa"/>
            <w:vMerge w:val="continue"/>
            <w:noWrap w:val="0"/>
            <w:vAlign w:val="center"/>
          </w:tcPr>
          <w:p>
            <w:pPr>
              <w:jc w:val="center"/>
            </w:pPr>
          </w:p>
        </w:tc>
        <w:tc>
          <w:tcPr>
            <w:tcW w:w="1189" w:type="dxa"/>
            <w:vMerge w:val="continue"/>
            <w:noWrap w:val="0"/>
            <w:vAlign w:val="center"/>
          </w:tcPr>
          <w:p>
            <w:pPr>
              <w:jc w:val="center"/>
            </w:pPr>
          </w:p>
        </w:tc>
        <w:tc>
          <w:tcPr>
            <w:tcW w:w="3230" w:type="dxa"/>
            <w:noWrap w:val="0"/>
            <w:vAlign w:val="center"/>
          </w:tcPr>
          <w:p>
            <w:r>
              <w:t>唤醒灵敏度</w:t>
            </w:r>
          </w:p>
        </w:tc>
        <w:tc>
          <w:tcPr>
            <w:tcW w:w="4027" w:type="dxa"/>
            <w:noWrap w:val="0"/>
            <w:vAlign w:val="center"/>
          </w:tcPr>
          <w:p>
            <w:r>
              <w:t>≤-50 dbm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36" w:type="dxa"/>
            <w:vMerge w:val="continue"/>
            <w:noWrap w:val="0"/>
            <w:vAlign w:val="center"/>
          </w:tcPr>
          <w:p>
            <w:pPr>
              <w:jc w:val="center"/>
            </w:pPr>
          </w:p>
        </w:tc>
        <w:tc>
          <w:tcPr>
            <w:tcW w:w="1189" w:type="dxa"/>
            <w:vMerge w:val="continue"/>
            <w:noWrap w:val="0"/>
            <w:vAlign w:val="center"/>
          </w:tcPr>
          <w:p>
            <w:pPr>
              <w:jc w:val="center"/>
            </w:pPr>
          </w:p>
        </w:tc>
        <w:tc>
          <w:tcPr>
            <w:tcW w:w="3230" w:type="dxa"/>
            <w:noWrap w:val="0"/>
            <w:vAlign w:val="center"/>
          </w:tcPr>
          <w:p>
            <w:r>
              <w:t>接收带宽</w:t>
            </w:r>
          </w:p>
        </w:tc>
        <w:tc>
          <w:tcPr>
            <w:tcW w:w="4027" w:type="dxa"/>
            <w:noWrap w:val="0"/>
            <w:vAlign w:val="center"/>
          </w:tcPr>
          <w:p>
            <w:r>
              <w:t>5.825GHz-5.845GHz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36" w:type="dxa"/>
            <w:vMerge w:val="continue"/>
            <w:noWrap w:val="0"/>
            <w:vAlign w:val="center"/>
          </w:tcPr>
          <w:p>
            <w:pPr>
              <w:jc w:val="center"/>
            </w:pPr>
          </w:p>
        </w:tc>
        <w:tc>
          <w:tcPr>
            <w:tcW w:w="1189" w:type="dxa"/>
            <w:vMerge w:val="continue"/>
            <w:noWrap w:val="0"/>
            <w:vAlign w:val="center"/>
          </w:tcPr>
          <w:p>
            <w:pPr>
              <w:jc w:val="center"/>
            </w:pPr>
          </w:p>
        </w:tc>
        <w:tc>
          <w:tcPr>
            <w:tcW w:w="3230" w:type="dxa"/>
            <w:noWrap w:val="0"/>
            <w:vAlign w:val="center"/>
          </w:tcPr>
          <w:p>
            <w:r>
              <w:t>BER</w:t>
            </w:r>
          </w:p>
        </w:tc>
        <w:tc>
          <w:tcPr>
            <w:tcW w:w="4027" w:type="dxa"/>
            <w:noWrap w:val="0"/>
            <w:vAlign w:val="center"/>
          </w:tcPr>
          <w:p>
            <w:r>
              <w:t>10×10-6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36" w:type="dxa"/>
            <w:vMerge w:val="continue"/>
            <w:noWrap w:val="0"/>
            <w:vAlign w:val="center"/>
          </w:tcPr>
          <w:p>
            <w:pPr>
              <w:jc w:val="center"/>
            </w:pPr>
          </w:p>
        </w:tc>
        <w:tc>
          <w:tcPr>
            <w:tcW w:w="1189" w:type="dxa"/>
            <w:vMerge w:val="continue"/>
            <w:noWrap w:val="0"/>
            <w:vAlign w:val="center"/>
          </w:tcPr>
          <w:p>
            <w:pPr>
              <w:jc w:val="center"/>
            </w:pPr>
          </w:p>
        </w:tc>
        <w:tc>
          <w:tcPr>
            <w:tcW w:w="3230" w:type="dxa"/>
            <w:noWrap w:val="0"/>
            <w:vAlign w:val="center"/>
          </w:tcPr>
          <w:p>
            <w:r>
              <w:t>前导码</w:t>
            </w:r>
          </w:p>
        </w:tc>
        <w:tc>
          <w:tcPr>
            <w:tcW w:w="4027" w:type="dxa"/>
            <w:noWrap w:val="0"/>
            <w:vAlign w:val="center"/>
          </w:tcPr>
          <w:p>
            <w:r>
              <w:t>16 位“1”加16 位“0”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36" w:type="dxa"/>
            <w:vMerge w:val="continue"/>
            <w:noWrap w:val="0"/>
            <w:vAlign w:val="center"/>
          </w:tcPr>
          <w:p>
            <w:pPr>
              <w:jc w:val="center"/>
            </w:pPr>
          </w:p>
        </w:tc>
        <w:tc>
          <w:tcPr>
            <w:tcW w:w="1189" w:type="dxa"/>
            <w:vMerge w:val="continue"/>
            <w:noWrap w:val="0"/>
            <w:vAlign w:val="center"/>
          </w:tcPr>
          <w:p>
            <w:pPr>
              <w:jc w:val="center"/>
            </w:pPr>
          </w:p>
        </w:tc>
        <w:tc>
          <w:tcPr>
            <w:tcW w:w="3230" w:type="dxa"/>
            <w:noWrap w:val="0"/>
            <w:vAlign w:val="center"/>
          </w:tcPr>
          <w:p>
            <w:r>
              <w:t>后导码</w:t>
            </w:r>
          </w:p>
        </w:tc>
        <w:tc>
          <w:tcPr>
            <w:tcW w:w="4027" w:type="dxa"/>
            <w:noWrap w:val="0"/>
            <w:vAlign w:val="center"/>
          </w:tcPr>
          <w:p>
            <w:r>
              <w:t>最多8位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736" w:type="dxa"/>
            <w:noWrap w:val="0"/>
            <w:vAlign w:val="center"/>
          </w:tcPr>
          <w:p>
            <w:pPr>
              <w:jc w:val="center"/>
            </w:pPr>
            <w:r>
              <w:t>2</w:t>
            </w:r>
          </w:p>
        </w:tc>
        <w:tc>
          <w:tcPr>
            <w:tcW w:w="1189" w:type="dxa"/>
            <w:noWrap w:val="0"/>
            <w:vAlign w:val="center"/>
          </w:tcPr>
          <w:p>
            <w:pPr>
              <w:jc w:val="center"/>
            </w:pPr>
            <w:r>
              <w:t>13.56MHz 无线链路</w:t>
            </w:r>
          </w:p>
        </w:tc>
        <w:tc>
          <w:tcPr>
            <w:tcW w:w="3230" w:type="dxa"/>
            <w:noWrap w:val="0"/>
            <w:vAlign w:val="center"/>
          </w:tcPr>
          <w:p/>
        </w:tc>
        <w:tc>
          <w:tcPr>
            <w:tcW w:w="4027" w:type="dxa"/>
            <w:noWrap w:val="0"/>
            <w:vAlign w:val="center"/>
          </w:tcPr>
          <w:p>
            <w:r>
              <w:t>符合ISO/IEC14443TypeA 标准相关规定</w:t>
            </w:r>
          </w:p>
        </w:tc>
      </w:tr>
    </w:tbl>
    <w:p>
      <w:pPr>
        <w:ind w:firstLine="210" w:firstLineChars="100"/>
        <w:jc w:val="left"/>
      </w:pPr>
    </w:p>
    <w:p>
      <w:pPr>
        <w:ind w:firstLine="210" w:firstLineChars="100"/>
        <w:jc w:val="left"/>
      </w:pPr>
      <w:r>
        <w:t>（2）系统应用要求</w:t>
      </w:r>
    </w:p>
    <w:p>
      <w:pPr>
        <w:jc w:val="left"/>
      </w:pPr>
    </w:p>
    <w:tbl>
      <w:tblPr>
        <w:tblStyle w:val="13"/>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3094"/>
        <w:gridCol w:w="4345"/>
        <w:gridCol w:w="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118" w:type="dxa"/>
            <w:noWrap w:val="0"/>
            <w:vAlign w:val="center"/>
          </w:tcPr>
          <w:p>
            <w:pPr>
              <w:jc w:val="center"/>
            </w:pPr>
            <w:r>
              <w:t>序号</w:t>
            </w:r>
          </w:p>
        </w:tc>
        <w:tc>
          <w:tcPr>
            <w:tcW w:w="3094" w:type="dxa"/>
            <w:noWrap w:val="0"/>
            <w:vAlign w:val="center"/>
          </w:tcPr>
          <w:p>
            <w:pPr>
              <w:jc w:val="center"/>
            </w:pPr>
            <w:r>
              <w:t>功能及性能</w:t>
            </w:r>
          </w:p>
        </w:tc>
        <w:tc>
          <w:tcPr>
            <w:tcW w:w="4983" w:type="dxa"/>
            <w:gridSpan w:val="2"/>
            <w:noWrap w:val="0"/>
            <w:vAlign w:val="center"/>
          </w:tcPr>
          <w:p>
            <w:pPr>
              <w:jc w:val="center"/>
            </w:pPr>
            <w: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1118" w:type="dxa"/>
            <w:noWrap w:val="0"/>
            <w:vAlign w:val="center"/>
          </w:tcPr>
          <w:p>
            <w:pPr>
              <w:jc w:val="center"/>
            </w:pPr>
            <w:r>
              <w:t>1</w:t>
            </w:r>
          </w:p>
        </w:tc>
        <w:tc>
          <w:tcPr>
            <w:tcW w:w="3094" w:type="dxa"/>
            <w:noWrap w:val="0"/>
            <w:vAlign w:val="center"/>
          </w:tcPr>
          <w:p>
            <w:pPr>
              <w:jc w:val="center"/>
            </w:pPr>
            <w:r>
              <w:t>数据存取和访问控制</w:t>
            </w:r>
          </w:p>
        </w:tc>
        <w:tc>
          <w:tcPr>
            <w:tcW w:w="4983" w:type="dxa"/>
            <w:gridSpan w:val="2"/>
            <w:noWrap w:val="0"/>
            <w:vAlign w:val="bottom"/>
          </w:tcPr>
          <w:p>
            <w:pPr>
              <w:jc w:val="left"/>
            </w:pPr>
            <w:r>
              <w:t>应支持《广东省高速公路联网收费系统》算法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118" w:type="dxa"/>
            <w:noWrap w:val="0"/>
            <w:vAlign w:val="center"/>
          </w:tcPr>
          <w:p>
            <w:pPr>
              <w:jc w:val="center"/>
            </w:pPr>
            <w:r>
              <w:t>2</w:t>
            </w:r>
          </w:p>
        </w:tc>
        <w:tc>
          <w:tcPr>
            <w:tcW w:w="3094" w:type="dxa"/>
            <w:noWrap w:val="0"/>
            <w:vAlign w:val="center"/>
          </w:tcPr>
          <w:p>
            <w:pPr>
              <w:jc w:val="center"/>
            </w:pPr>
            <w:r>
              <w:t>具备ICC 读写接口</w:t>
            </w:r>
          </w:p>
        </w:tc>
        <w:tc>
          <w:tcPr>
            <w:tcW w:w="4983" w:type="dxa"/>
            <w:gridSpan w:val="2"/>
            <w:noWrap w:val="0"/>
            <w:vAlign w:val="bottom"/>
          </w:tcPr>
          <w:p>
            <w:pPr>
              <w:jc w:val="left"/>
            </w:pPr>
            <w:r>
              <w:t xml:space="preserve">符合ISO/IEC 7816 和ISO/IEC 14443TYPE-A </w:t>
            </w:r>
          </w:p>
          <w:p>
            <w:pPr>
              <w:jc w:val="left"/>
            </w:pPr>
            <w:r>
              <w:t>标准的相关规定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118" w:type="dxa"/>
            <w:noWrap w:val="0"/>
            <w:vAlign w:val="center"/>
          </w:tcPr>
          <w:p>
            <w:pPr>
              <w:jc w:val="center"/>
            </w:pPr>
            <w:r>
              <w:t>3</w:t>
            </w:r>
          </w:p>
        </w:tc>
        <w:tc>
          <w:tcPr>
            <w:tcW w:w="3094" w:type="dxa"/>
            <w:noWrap w:val="0"/>
            <w:vAlign w:val="center"/>
          </w:tcPr>
          <w:p>
            <w:pPr>
              <w:jc w:val="center"/>
            </w:pPr>
            <w:r>
              <w:t>ICC 交易流程</w:t>
            </w:r>
          </w:p>
        </w:tc>
        <w:tc>
          <w:tcPr>
            <w:tcW w:w="4345" w:type="dxa"/>
            <w:noWrap w:val="0"/>
            <w:vAlign w:val="center"/>
          </w:tcPr>
          <w:p>
            <w:pPr>
              <w:jc w:val="left"/>
            </w:pPr>
            <w:r>
              <w:t>符合JR/T 0025.10-2005</w:t>
            </w:r>
          </w:p>
        </w:tc>
        <w:tc>
          <w:tcPr>
            <w:tcW w:w="638" w:type="dxa"/>
            <w:noWrap w:val="0"/>
            <w:vAlign w:val="top"/>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118" w:type="dxa"/>
            <w:noWrap w:val="0"/>
            <w:vAlign w:val="center"/>
          </w:tcPr>
          <w:p>
            <w:pPr>
              <w:jc w:val="center"/>
            </w:pPr>
            <w:r>
              <w:t>4</w:t>
            </w:r>
          </w:p>
        </w:tc>
        <w:tc>
          <w:tcPr>
            <w:tcW w:w="3094" w:type="dxa"/>
            <w:noWrap w:val="0"/>
            <w:vAlign w:val="center"/>
          </w:tcPr>
          <w:p>
            <w:pPr>
              <w:jc w:val="center"/>
            </w:pPr>
            <w:r>
              <w:t>功能部件</w:t>
            </w:r>
          </w:p>
        </w:tc>
        <w:tc>
          <w:tcPr>
            <w:tcW w:w="4983" w:type="dxa"/>
            <w:gridSpan w:val="2"/>
            <w:noWrap w:val="0"/>
            <w:vAlign w:val="top"/>
          </w:tcPr>
          <w:p>
            <w:pPr>
              <w:jc w:val="left"/>
            </w:pPr>
            <w:r>
              <w:t>ICC 读写接口、RS232 串口、红绿指示灯、蜂鸣器等标准配置部件。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118" w:type="dxa"/>
            <w:noWrap w:val="0"/>
            <w:vAlign w:val="center"/>
          </w:tcPr>
          <w:p>
            <w:pPr>
              <w:jc w:val="center"/>
            </w:pPr>
            <w:r>
              <w:t>5</w:t>
            </w:r>
          </w:p>
        </w:tc>
        <w:tc>
          <w:tcPr>
            <w:tcW w:w="3094" w:type="dxa"/>
            <w:noWrap w:val="0"/>
            <w:vAlign w:val="center"/>
          </w:tcPr>
          <w:p>
            <w:pPr>
              <w:jc w:val="center"/>
            </w:pPr>
            <w:r>
              <w:t>可靠性</w:t>
            </w:r>
          </w:p>
        </w:tc>
        <w:tc>
          <w:tcPr>
            <w:tcW w:w="4983" w:type="dxa"/>
            <w:gridSpan w:val="2"/>
            <w:noWrap w:val="0"/>
            <w:vAlign w:val="center"/>
          </w:tcPr>
          <w:p>
            <w:pPr>
              <w:jc w:val="left"/>
            </w:pPr>
            <w:r>
              <w:t>平均无故障时间应大于50,000h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118" w:type="dxa"/>
            <w:noWrap w:val="0"/>
            <w:vAlign w:val="center"/>
          </w:tcPr>
          <w:p>
            <w:pPr>
              <w:jc w:val="center"/>
            </w:pPr>
            <w:r>
              <w:t>6</w:t>
            </w:r>
          </w:p>
        </w:tc>
        <w:tc>
          <w:tcPr>
            <w:tcW w:w="3094" w:type="dxa"/>
            <w:noWrap w:val="0"/>
            <w:vAlign w:val="center"/>
          </w:tcPr>
          <w:p>
            <w:pPr>
              <w:jc w:val="center"/>
            </w:pPr>
            <w:r>
              <w:t>PSAM 卡槽数</w:t>
            </w:r>
          </w:p>
        </w:tc>
        <w:tc>
          <w:tcPr>
            <w:tcW w:w="4983" w:type="dxa"/>
            <w:gridSpan w:val="2"/>
            <w:noWrap w:val="0"/>
            <w:vAlign w:val="center"/>
          </w:tcPr>
          <w:p>
            <w:pPr>
              <w:jc w:val="left"/>
            </w:pPr>
            <w:r>
              <w:t>至少4个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118" w:type="dxa"/>
            <w:noWrap w:val="0"/>
            <w:vAlign w:val="center"/>
          </w:tcPr>
          <w:p>
            <w:pPr>
              <w:jc w:val="center"/>
            </w:pPr>
            <w:r>
              <w:t>7</w:t>
            </w:r>
          </w:p>
        </w:tc>
        <w:tc>
          <w:tcPr>
            <w:tcW w:w="3094" w:type="dxa"/>
            <w:noWrap w:val="0"/>
            <w:vAlign w:val="center"/>
          </w:tcPr>
          <w:p>
            <w:pPr>
              <w:jc w:val="center"/>
            </w:pPr>
            <w:r>
              <w:t>环境条件</w:t>
            </w:r>
          </w:p>
        </w:tc>
        <w:tc>
          <w:tcPr>
            <w:tcW w:w="4983" w:type="dxa"/>
            <w:gridSpan w:val="2"/>
            <w:noWrap w:val="0"/>
            <w:vAlign w:val="top"/>
          </w:tcPr>
          <w:p>
            <w:pPr>
              <w:jc w:val="left"/>
            </w:pPr>
            <w:r>
              <w:t xml:space="preserve">工作温度：-20℃～+70℃； </w:t>
            </w:r>
          </w:p>
          <w:p>
            <w:pPr>
              <w:jc w:val="left"/>
            </w:pPr>
            <w:r>
              <w:t>相对工作湿度：5％～95％；</w:t>
            </w:r>
          </w:p>
          <w:p>
            <w:pPr>
              <w:jc w:val="left"/>
            </w:pPr>
            <w:r>
              <w:t>静电：≥8kV；</w:t>
            </w:r>
          </w:p>
          <w:p>
            <w:pPr>
              <w:jc w:val="left"/>
            </w:pPr>
            <w:r>
              <w:t>振动： 应符合GB/T 2423；</w:t>
            </w:r>
          </w:p>
          <w:p>
            <w:pPr>
              <w:jc w:val="left"/>
            </w:pPr>
            <w:r>
              <w:t>冲击：应符合GB/T 2423.6 试验Eb 和导则；</w:t>
            </w:r>
          </w:p>
          <w:p>
            <w:pPr>
              <w:jc w:val="left"/>
            </w:pPr>
            <w:r>
              <w:t>防水等级：P65；</w:t>
            </w:r>
          </w:p>
          <w:p>
            <w:pPr>
              <w:jc w:val="left"/>
            </w:pPr>
            <w:r>
              <w:t>防紫外线老化。</w:t>
            </w:r>
          </w:p>
        </w:tc>
      </w:tr>
    </w:tbl>
    <w:p>
      <w:pPr>
        <w:numPr>
          <w:ilvl w:val="0"/>
          <w:numId w:val="0"/>
        </w:numPr>
        <w:wordWrap w:val="0"/>
        <w:topLinePunct/>
        <w:spacing w:line="360" w:lineRule="auto"/>
        <w:rPr>
          <w:rFonts w:hint="default" w:cs="Times New Roman"/>
          <w:bCs/>
          <w:snapToGrid w:val="0"/>
          <w:kern w:val="0"/>
          <w:sz w:val="24"/>
          <w:szCs w:val="24"/>
          <w:lang w:val="en-US" w:eastAsia="zh-CN"/>
        </w:rPr>
      </w:pP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供应商资格条件</w:t>
      </w:r>
    </w:p>
    <w:p>
      <w:pPr>
        <w:pStyle w:val="6"/>
        <w:ind w:firstLine="48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信用信誉良好，所供设备符合本工程量清单设备技术要求。</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响应回执的递交</w:t>
      </w:r>
    </w:p>
    <w:p>
      <w:pPr>
        <w:spacing w:line="360" w:lineRule="auto"/>
        <w:ind w:firstLine="480" w:firstLineChars="200"/>
        <w:rPr>
          <w:rFonts w:hint="default" w:ascii="Times New Roman" w:hAnsi="Times New Roman" w:eastAsia="宋体" w:cs="Times New Roman"/>
          <w:snapToGrid w:val="0"/>
          <w:color w:val="000000"/>
          <w:kern w:val="0"/>
          <w:sz w:val="24"/>
          <w:szCs w:val="24"/>
        </w:rPr>
      </w:pPr>
      <w:r>
        <w:rPr>
          <w:rFonts w:hint="default" w:ascii="Times New Roman" w:hAnsi="Times New Roman" w:eastAsia="宋体" w:cs="Times New Roman"/>
          <w:sz w:val="24"/>
          <w:szCs w:val="24"/>
        </w:rPr>
        <w:t>凡有意参加本次采购且具备履行本项目能力的供应商，请</w:t>
      </w:r>
      <w:r>
        <w:rPr>
          <w:rFonts w:hint="default" w:ascii="Times New Roman" w:hAnsi="Times New Roman" w:eastAsia="宋体" w:cs="Times New Roman"/>
          <w:color w:val="000000"/>
          <w:sz w:val="24"/>
          <w:szCs w:val="24"/>
        </w:rPr>
        <w:t>将附于本公告后的</w:t>
      </w:r>
      <w:r>
        <w:rPr>
          <w:rFonts w:hint="default" w:ascii="Times New Roman" w:hAnsi="Times New Roman" w:eastAsia="宋体" w:cs="Times New Roman"/>
          <w:color w:val="FF0000"/>
          <w:sz w:val="24"/>
          <w:szCs w:val="24"/>
        </w:rPr>
        <w:t>响应回执</w:t>
      </w:r>
      <w:r>
        <w:rPr>
          <w:rFonts w:hint="eastAsia" w:cs="Times New Roman"/>
          <w:color w:val="FF0000"/>
          <w:sz w:val="24"/>
          <w:szCs w:val="24"/>
          <w:lang w:eastAsia="zh-CN"/>
        </w:rPr>
        <w:t>及响应公司营业执照扫描件</w:t>
      </w:r>
      <w:r>
        <w:rPr>
          <w:rFonts w:hint="default" w:ascii="Times New Roman" w:hAnsi="Times New Roman" w:eastAsia="宋体" w:cs="Times New Roman"/>
          <w:color w:val="000000"/>
          <w:sz w:val="24"/>
          <w:szCs w:val="24"/>
        </w:rPr>
        <w:t>在</w:t>
      </w:r>
      <w:r>
        <w:rPr>
          <w:rFonts w:hint="default" w:ascii="Times New Roman" w:hAnsi="Times New Roman" w:eastAsia="宋体" w:cs="Times New Roman"/>
          <w:color w:val="000000"/>
          <w:sz w:val="24"/>
          <w:szCs w:val="24"/>
          <w:u w:val="single"/>
        </w:rPr>
        <w:t>202</w:t>
      </w:r>
      <w:r>
        <w:rPr>
          <w:rFonts w:hint="eastAsia" w:cs="Times New Roman"/>
          <w:color w:val="000000"/>
          <w:sz w:val="24"/>
          <w:szCs w:val="24"/>
          <w:u w:val="single"/>
          <w:lang w:val="en-US" w:eastAsia="zh-CN"/>
        </w:rPr>
        <w:t>4</w:t>
      </w:r>
      <w:r>
        <w:rPr>
          <w:rFonts w:hint="default" w:ascii="Times New Roman" w:hAnsi="Times New Roman" w:eastAsia="宋体" w:cs="Times New Roman"/>
          <w:color w:val="000000"/>
          <w:sz w:val="24"/>
          <w:szCs w:val="24"/>
          <w:u w:val="single"/>
        </w:rPr>
        <w:t>年</w:t>
      </w:r>
      <w:r>
        <w:rPr>
          <w:rFonts w:hint="eastAsia" w:cs="Times New Roman"/>
          <w:color w:val="000000"/>
          <w:sz w:val="24"/>
          <w:szCs w:val="24"/>
          <w:u w:val="single"/>
          <w:lang w:val="en-US" w:eastAsia="zh-CN"/>
        </w:rPr>
        <w:t>4</w:t>
      </w:r>
      <w:r>
        <w:rPr>
          <w:rFonts w:hint="default" w:ascii="Times New Roman" w:hAnsi="Times New Roman" w:eastAsia="宋体" w:cs="Times New Roman"/>
          <w:color w:val="000000"/>
          <w:sz w:val="24"/>
          <w:szCs w:val="24"/>
          <w:u w:val="single"/>
        </w:rPr>
        <w:t>月</w:t>
      </w:r>
      <w:r>
        <w:rPr>
          <w:rFonts w:hint="eastAsia" w:cs="Times New Roman"/>
          <w:color w:val="000000"/>
          <w:sz w:val="24"/>
          <w:szCs w:val="24"/>
          <w:u w:val="single"/>
          <w:lang w:val="en-US" w:eastAsia="zh-CN"/>
        </w:rPr>
        <w:t>10</w:t>
      </w:r>
      <w:r>
        <w:rPr>
          <w:rFonts w:hint="default" w:ascii="Times New Roman" w:hAnsi="Times New Roman" w:eastAsia="宋体" w:cs="Times New Roman"/>
          <w:color w:val="000000"/>
          <w:sz w:val="24"/>
          <w:szCs w:val="24"/>
          <w:u w:val="single"/>
        </w:rPr>
        <w:t>日</w:t>
      </w:r>
      <w:r>
        <w:rPr>
          <w:rFonts w:hint="eastAsia" w:cs="Times New Roman"/>
          <w:color w:val="000000"/>
          <w:sz w:val="24"/>
          <w:szCs w:val="24"/>
          <w:u w:val="single"/>
          <w:lang w:val="en-US" w:eastAsia="zh-CN"/>
        </w:rPr>
        <w:t>16</w:t>
      </w:r>
      <w:r>
        <w:rPr>
          <w:rFonts w:hint="default" w:ascii="Times New Roman" w:hAnsi="Times New Roman" w:eastAsia="宋体" w:cs="Times New Roman"/>
          <w:color w:val="000000"/>
          <w:sz w:val="24"/>
          <w:szCs w:val="24"/>
          <w:u w:val="single"/>
        </w:rPr>
        <w:t>：00</w:t>
      </w:r>
      <w:r>
        <w:rPr>
          <w:rFonts w:hint="default" w:ascii="Times New Roman" w:hAnsi="Times New Roman" w:eastAsia="宋体" w:cs="Times New Roman"/>
          <w:color w:val="000000"/>
          <w:sz w:val="24"/>
          <w:szCs w:val="24"/>
        </w:rPr>
        <w:t>之前发送至采购人邮箱：</w:t>
      </w:r>
      <w:r>
        <w:rPr>
          <w:rFonts w:hint="eastAsia" w:cs="Times New Roman"/>
          <w:color w:val="000000"/>
          <w:sz w:val="24"/>
          <w:szCs w:val="24"/>
          <w:lang w:val="en-US" w:eastAsia="zh-CN"/>
        </w:rPr>
        <w:t>gzlhr2@163</w:t>
      </w:r>
      <w:r>
        <w:rPr>
          <w:rFonts w:hint="default" w:ascii="Times New Roman" w:hAnsi="Times New Roman" w:eastAsia="宋体" w:cs="Times New Roman"/>
          <w:snapToGrid w:val="0"/>
          <w:color w:val="000000"/>
          <w:kern w:val="0"/>
          <w:sz w:val="24"/>
          <w:szCs w:val="24"/>
        </w:rPr>
        <w:t>.com，逾期无效。采购人在收到响应回执后根据供应商信用信誉等情况进行讨论提议，不再另行发布采购公告。</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bookmarkStart w:id="0" w:name="_Toc332793891"/>
      <w:bookmarkStart w:id="1" w:name="_Toc332793818"/>
      <w:bookmarkStart w:id="2" w:name="_Toc332965960"/>
      <w:r>
        <w:rPr>
          <w:rFonts w:hint="default" w:ascii="Times New Roman" w:hAnsi="Times New Roman" w:eastAsia="宋体" w:cs="Times New Roman"/>
          <w:b/>
          <w:snapToGrid w:val="0"/>
          <w:kern w:val="0"/>
          <w:sz w:val="24"/>
          <w:szCs w:val="24"/>
        </w:rPr>
        <w:t>联系方式</w:t>
      </w:r>
      <w:bookmarkEnd w:id="0"/>
      <w:bookmarkEnd w:id="1"/>
      <w:bookmarkEnd w:id="2"/>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采购人：广东诚泰交通科技发展有限公司</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采购人地址：广州市番禺区洛浦街道北环路87号道路研究院</w:t>
      </w:r>
      <w:r>
        <w:rPr>
          <w:rFonts w:hint="default" w:ascii="Times New Roman" w:hAnsi="Times New Roman" w:eastAsia="宋体" w:cs="Times New Roman"/>
          <w:color w:val="000000"/>
          <w:sz w:val="24"/>
          <w:szCs w:val="24"/>
          <w:lang w:val="en-US" w:eastAsia="zh-CN"/>
        </w:rPr>
        <w:t>有限公司</w:t>
      </w:r>
      <w:r>
        <w:rPr>
          <w:rFonts w:hint="default" w:ascii="Times New Roman" w:hAnsi="Times New Roman" w:eastAsia="宋体" w:cs="Times New Roman"/>
          <w:color w:val="000000"/>
          <w:sz w:val="24"/>
          <w:szCs w:val="24"/>
        </w:rPr>
        <w:t>二号楼</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联  系  人：</w:t>
      </w:r>
      <w:r>
        <w:rPr>
          <w:rFonts w:hint="eastAsia" w:cs="Times New Roman"/>
          <w:color w:val="000000"/>
          <w:sz w:val="24"/>
          <w:szCs w:val="24"/>
          <w:lang w:eastAsia="zh-CN"/>
        </w:rPr>
        <w:t>廖</w:t>
      </w:r>
      <w:r>
        <w:rPr>
          <w:rFonts w:hint="default" w:ascii="Times New Roman" w:hAnsi="Times New Roman" w:eastAsia="宋体" w:cs="Times New Roman"/>
          <w:color w:val="000000"/>
          <w:sz w:val="24"/>
          <w:szCs w:val="24"/>
        </w:rPr>
        <w:t>工</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电      话：020-39185740</w:t>
      </w:r>
    </w:p>
    <w:p>
      <w:pPr>
        <w:topLinePunct/>
        <w:spacing w:line="360" w:lineRule="auto"/>
        <w:jc w:val="righ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广东诚泰交通科技发展有限公司</w:t>
      </w:r>
    </w:p>
    <w:p>
      <w:pPr>
        <w:topLinePunct/>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 xml:space="preserve">                                           202</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rPr>
        <w:t>年</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rPr>
        <w:t>月</w:t>
      </w:r>
      <w:r>
        <w:rPr>
          <w:rFonts w:hint="eastAsia" w:cs="Times New Roman"/>
          <w:color w:val="000000"/>
          <w:sz w:val="24"/>
          <w:szCs w:val="24"/>
          <w:lang w:val="en-US" w:eastAsia="zh-CN"/>
        </w:rPr>
        <w:t>8</w:t>
      </w:r>
      <w:r>
        <w:rPr>
          <w:rFonts w:hint="default" w:ascii="Times New Roman" w:hAnsi="Times New Roman" w:eastAsia="宋体" w:cs="Times New Roman"/>
          <w:color w:val="000000"/>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Book Antiqua">
    <w:altName w:val="Segoe Print"/>
    <w:panose1 w:val="02040602050305030304"/>
    <w:charset w:val="00"/>
    <w:family w:val="roman"/>
    <w:pitch w:val="default"/>
    <w:sig w:usb0="00000000"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EB739B"/>
    <w:multiLevelType w:val="singleLevel"/>
    <w:tmpl w:val="AAEB739B"/>
    <w:lvl w:ilvl="0" w:tentative="0">
      <w:start w:val="1"/>
      <w:numFmt w:val="decimal"/>
      <w:lvlText w:val="%1."/>
      <w:lvlJc w:val="left"/>
      <w:pPr>
        <w:tabs>
          <w:tab w:val="left" w:pos="312"/>
        </w:tabs>
      </w:pPr>
    </w:lvl>
  </w:abstractNum>
  <w:abstractNum w:abstractNumId="1">
    <w:nsid w:val="CEC06D5F"/>
    <w:multiLevelType w:val="singleLevel"/>
    <w:tmpl w:val="CEC06D5F"/>
    <w:lvl w:ilvl="0" w:tentative="0">
      <w:start w:val="1"/>
      <w:numFmt w:val="decimal"/>
      <w:suff w:val="nothing"/>
      <w:lvlText w:val="（%1）"/>
      <w:lvlJc w:val="left"/>
    </w:lvl>
  </w:abstractNum>
  <w:abstractNum w:abstractNumId="2">
    <w:nsid w:val="171657A1"/>
    <w:multiLevelType w:val="multilevel"/>
    <w:tmpl w:val="171657A1"/>
    <w:lvl w:ilvl="0" w:tentative="0">
      <w:start w:val="1"/>
      <w:numFmt w:val="decimal"/>
      <w:suff w:val="nothing"/>
      <w:lvlText w:val="%1 "/>
      <w:lvlJc w:val="left"/>
      <w:pPr>
        <w:ind w:left="0" w:firstLine="0"/>
      </w:pPr>
      <w:rPr>
        <w:rFonts w:hint="default" w:ascii="Book Antiqua" w:hAnsi="Book Antiqua" w:eastAsia="黑体" w:cs="Book Antiqua"/>
        <w:b/>
        <w:bCs/>
        <w:i w:val="0"/>
        <w:iCs w:val="0"/>
        <w:caps w:val="0"/>
        <w:strike w:val="0"/>
        <w:dstrike w:val="0"/>
        <w:vanish w:val="0"/>
        <w:color w:val="000000"/>
        <w:sz w:val="144"/>
        <w:szCs w:val="144"/>
        <w:vertAlign w:val="baseline"/>
      </w:rPr>
    </w:lvl>
    <w:lvl w:ilvl="1" w:tentative="0">
      <w:start w:val="1"/>
      <w:numFmt w:val="decimal"/>
      <w:pStyle w:val="2"/>
      <w:suff w:val="nothing"/>
      <w:lvlText w:val="%1.%2 "/>
      <w:lvlJc w:val="left"/>
      <w:pPr>
        <w:ind w:left="0" w:firstLine="0"/>
      </w:pPr>
      <w:rPr>
        <w:rFonts w:hint="default" w:ascii="Book Antiqua" w:hAnsi="Book Antiqua" w:eastAsia="黑体" w:cs="Book Antiqua"/>
        <w:b w:val="0"/>
        <w:bCs/>
        <w:i w:val="0"/>
        <w:iCs w:val="0"/>
        <w:caps w:val="0"/>
        <w:strike w:val="0"/>
        <w:dstrike w:val="0"/>
        <w:snapToGrid w:val="0"/>
        <w:vanish w:val="0"/>
        <w:color w:val="000000"/>
        <w:spacing w:val="0"/>
        <w:kern w:val="0"/>
        <w:sz w:val="36"/>
        <w:szCs w:val="36"/>
        <w:vertAlign w:val="baseline"/>
      </w:rPr>
    </w:lvl>
    <w:lvl w:ilvl="2" w:tentative="0">
      <w:start w:val="1"/>
      <w:numFmt w:val="decimal"/>
      <w:pStyle w:val="3"/>
      <w:suff w:val="nothing"/>
      <w:lvlText w:val="%1.%2.%3 "/>
      <w:lvlJc w:val="left"/>
      <w:pPr>
        <w:ind w:left="142" w:firstLine="0"/>
      </w:pPr>
    </w:lvl>
    <w:lvl w:ilvl="3" w:tentative="0">
      <w:start w:val="1"/>
      <w:numFmt w:val="decimal"/>
      <w:lvlRestart w:val="1"/>
      <w:pStyle w:val="4"/>
      <w:suff w:val="nothing"/>
      <w:lvlText w:val="%1.%2.%3.%4 "/>
      <w:lvlJc w:val="left"/>
      <w:pPr>
        <w:ind w:left="0" w:firstLine="0"/>
      </w:pPr>
      <w:rPr>
        <w:rFonts w:hint="default" w:ascii="Book Antiqua" w:hAnsi="Book Antiqua" w:eastAsia="黑体" w:cs="Book Antiqua"/>
        <w:bCs/>
        <w:i w:val="0"/>
        <w:iCs w:val="0"/>
        <w:caps w:val="0"/>
        <w:strike w:val="0"/>
        <w:dstrike w:val="0"/>
        <w:vanish w:val="0"/>
        <w:color w:val="000000"/>
        <w:sz w:val="28"/>
        <w:szCs w:val="28"/>
        <w:vertAlign w:val="baseline"/>
      </w:rPr>
    </w:lvl>
    <w:lvl w:ilvl="4" w:tentative="0">
      <w:start w:val="1"/>
      <w:numFmt w:val="decimal"/>
      <w:lvlRestart w:val="1"/>
      <w:pStyle w:val="5"/>
      <w:suff w:val="nothing"/>
      <w:lvlText w:val="%1.%2.%3.%4.%5 "/>
      <w:lvlJc w:val="left"/>
      <w:pPr>
        <w:ind w:left="0" w:firstLine="0"/>
      </w:pPr>
      <w:rPr>
        <w:rFonts w:hint="default" w:ascii="Book Antiqua" w:hAnsi="Book Antiqua" w:eastAsia="黑体" w:cs="Book Antiqua"/>
        <w:bCs/>
        <w:i w:val="0"/>
        <w:iCs w:val="0"/>
        <w:caps w:val="0"/>
        <w:strike w:val="0"/>
        <w:dstrike w:val="0"/>
        <w:vanish w:val="0"/>
        <w:color w:val="000000"/>
        <w:sz w:val="24"/>
        <w:szCs w:val="24"/>
        <w:vertAlign w:val="baseline"/>
      </w:rPr>
    </w:lvl>
    <w:lvl w:ilvl="5" w:tentative="0">
      <w:start w:val="1"/>
      <w:numFmt w:val="none"/>
      <w:pStyle w:val="25"/>
      <w:suff w:val="nothing"/>
      <w:lvlText w:val=""/>
      <w:lvlJc w:val="left"/>
      <w:pPr>
        <w:ind w:left="0" w:firstLine="0"/>
      </w:pPr>
      <w:rPr>
        <w:rFonts w:hint="default" w:ascii="Arial" w:hAnsi="Arial" w:cs="Arial"/>
        <w:b/>
        <w:bCs/>
        <w:i w:val="0"/>
        <w:iCs w:val="0"/>
        <w:caps w:val="0"/>
        <w:strike w:val="0"/>
        <w:dstrike w:val="0"/>
        <w:vanish w:val="0"/>
        <w:color w:val="000000"/>
        <w:sz w:val="20"/>
        <w:szCs w:val="20"/>
        <w:vertAlign w:val="baseline"/>
      </w:rPr>
    </w:lvl>
    <w:lvl w:ilvl="6" w:tentative="0">
      <w:start w:val="1"/>
      <w:numFmt w:val="decimal"/>
      <w:pStyle w:val="29"/>
      <w:lvlText w:val="步骤 %7"/>
      <w:lvlJc w:val="right"/>
      <w:pPr>
        <w:tabs>
          <w:tab w:val="left" w:pos="1701"/>
        </w:tabs>
        <w:ind w:left="1701" w:hanging="159"/>
      </w:pPr>
      <w:rPr>
        <w:rFonts w:hint="default" w:ascii="Book Antiqua" w:hAnsi="Book Antiqua" w:eastAsia="黑体" w:cs="Times New Roman"/>
        <w:b w:val="0"/>
        <w:bCs/>
        <w:i w:val="0"/>
        <w:iCs w:val="0"/>
        <w:color w:val="auto"/>
        <w:sz w:val="21"/>
        <w:szCs w:val="21"/>
      </w:rPr>
    </w:lvl>
    <w:lvl w:ilvl="7" w:tentative="0">
      <w:start w:val="1"/>
      <w:numFmt w:val="decimal"/>
      <w:lvlRestart w:val="1"/>
      <w:pStyle w:val="35"/>
      <w:suff w:val="space"/>
      <w:lvlText w:val="图%1-%8"/>
      <w:lvlJc w:val="left"/>
      <w:pPr>
        <w:ind w:left="1701" w:firstLine="0"/>
      </w:pPr>
      <w:rPr>
        <w:rFonts w:hint="default" w:ascii="Times New Roman" w:hAnsi="Times New Roman" w:eastAsia="黑体" w:cs="Book Antiqua"/>
        <w:b w:val="0"/>
        <w:bCs/>
        <w:i w:val="0"/>
        <w:iCs w:val="0"/>
        <w:strike w:val="0"/>
        <w:dstrike w:val="0"/>
        <w:color w:val="000000"/>
        <w:sz w:val="21"/>
        <w:szCs w:val="21"/>
        <w:vertAlign w:val="baseline"/>
      </w:rPr>
    </w:lvl>
    <w:lvl w:ilvl="8" w:tentative="0">
      <w:start w:val="1"/>
      <w:numFmt w:val="decimal"/>
      <w:lvlRestart w:val="1"/>
      <w:pStyle w:val="26"/>
      <w:suff w:val="space"/>
      <w:lvlText w:val="表%1-%9"/>
      <w:lvlJc w:val="left"/>
      <w:pPr>
        <w:ind w:left="1701" w:firstLine="0"/>
      </w:pPr>
      <w:rPr>
        <w:rFonts w:hint="default" w:ascii="Times New Roman" w:hAnsi="Times New Roman" w:eastAsia="黑体"/>
        <w:b w:val="0"/>
        <w:bCs/>
        <w:i w:val="0"/>
        <w:iCs w:val="0"/>
        <w:color w:val="auto"/>
        <w:sz w:val="21"/>
        <w:szCs w:val="21"/>
      </w:rPr>
    </w:lvl>
  </w:abstractNum>
  <w:abstractNum w:abstractNumId="3">
    <w:nsid w:val="6E230785"/>
    <w:multiLevelType w:val="multilevel"/>
    <w:tmpl w:val="6E230785"/>
    <w:lvl w:ilvl="0" w:tentative="0">
      <w:start w:val="1"/>
      <w:numFmt w:val="bullet"/>
      <w:pStyle w:val="34"/>
      <w:lvlText w:val=""/>
      <w:lvlJc w:val="left"/>
      <w:pPr>
        <w:tabs>
          <w:tab w:val="left" w:pos="170"/>
        </w:tabs>
        <w:ind w:left="170" w:hanging="170"/>
      </w:pPr>
      <w:rPr>
        <w:rFonts w:hint="default" w:ascii="Wingdings" w:hAnsi="Wingdings" w:eastAsia="宋体"/>
        <w:b w:val="0"/>
        <w:i w:val="0"/>
        <w:color w:val="auto"/>
        <w:position w:val="3"/>
        <w:sz w:val="13"/>
        <w:szCs w:val="13"/>
      </w:rPr>
    </w:lvl>
    <w:lvl w:ilvl="1" w:tentative="0">
      <w:start w:val="1"/>
      <w:numFmt w:val="lowerLetter"/>
      <w:pStyle w:val="31"/>
      <w:lvlText w:val="%2."/>
      <w:lvlJc w:val="left"/>
      <w:pPr>
        <w:tabs>
          <w:tab w:val="left" w:pos="284"/>
        </w:tabs>
        <w:ind w:left="568" w:hanging="284"/>
      </w:pPr>
      <w:rPr>
        <w:rFonts w:hint="default" w:ascii="Times New Roman" w:hAnsi="Times New Roman" w:cs="Book Antiqua"/>
        <w:b w:val="0"/>
        <w:bCs/>
        <w:i w:val="0"/>
        <w:iCs w:val="0"/>
        <w:sz w:val="21"/>
        <w:szCs w:val="21"/>
        <w:u w:val="none"/>
      </w:rPr>
    </w:lvl>
    <w:lvl w:ilvl="2" w:tentative="0">
      <w:start w:val="1"/>
      <w:numFmt w:val="bullet"/>
      <w:pStyle w:val="32"/>
      <w:lvlText w:val="−"/>
      <w:lvlJc w:val="left"/>
      <w:pPr>
        <w:tabs>
          <w:tab w:val="left" w:pos="568"/>
        </w:tabs>
        <w:ind w:left="568" w:hanging="284"/>
      </w:pPr>
      <w:rPr>
        <w:rFonts w:hint="default" w:ascii="Times New Roman" w:hAnsi="Times New Roman" w:cs="Times New Roman"/>
        <w:sz w:val="16"/>
        <w:szCs w:val="16"/>
      </w:rPr>
    </w:lvl>
    <w:lvl w:ilvl="3" w:tentative="0">
      <w:start w:val="1"/>
      <w:numFmt w:val="decimal"/>
      <w:pStyle w:val="33"/>
      <w:lvlText w:val="%4."/>
      <w:lvlJc w:val="left"/>
      <w:pPr>
        <w:tabs>
          <w:tab w:val="left" w:pos="284"/>
        </w:tabs>
        <w:ind w:left="568" w:hanging="284"/>
      </w:pPr>
      <w:rPr>
        <w:rFonts w:hint="default" w:ascii="Times New Roman" w:hAnsi="Times New Roman" w:cs="Book Antiqua"/>
        <w:b w:val="0"/>
        <w:bCs/>
        <w:i w:val="0"/>
        <w:iCs w:val="0"/>
        <w:sz w:val="21"/>
        <w:szCs w:val="21"/>
        <w:u w:val="none"/>
      </w:rPr>
    </w:lvl>
    <w:lvl w:ilvl="4" w:tentative="0">
      <w:start w:val="1"/>
      <w:numFmt w:val="bullet"/>
      <w:pStyle w:val="38"/>
      <w:lvlText w:val=""/>
      <w:lvlJc w:val="left"/>
      <w:pPr>
        <w:tabs>
          <w:tab w:val="left" w:pos="568"/>
        </w:tabs>
        <w:ind w:left="568" w:hanging="284"/>
      </w:pPr>
      <w:rPr>
        <w:rFonts w:hint="default" w:ascii="Wingdings" w:hAnsi="Wingdings" w:eastAsia="宋体"/>
        <w:b w:val="0"/>
        <w:i w:val="0"/>
        <w:color w:val="auto"/>
        <w:position w:val="3"/>
        <w:sz w:val="13"/>
        <w:szCs w:val="13"/>
      </w:rPr>
    </w:lvl>
    <w:lvl w:ilvl="5" w:tentative="0">
      <w:start w:val="1"/>
      <w:numFmt w:val="decimal"/>
      <w:pStyle w:val="30"/>
      <w:lvlText w:val="%6."/>
      <w:lvlJc w:val="left"/>
      <w:pPr>
        <w:tabs>
          <w:tab w:val="left" w:pos="1985"/>
        </w:tabs>
        <w:ind w:left="1985" w:hanging="284"/>
      </w:pPr>
      <w:rPr>
        <w:rFonts w:hint="default" w:ascii="Times New Roman" w:hAnsi="Times New Roman" w:cs="Book Antiqua"/>
        <w:color w:val="auto"/>
        <w:spacing w:val="0"/>
        <w:w w:val="100"/>
        <w:position w:val="1"/>
        <w:sz w:val="21"/>
        <w:szCs w:val="21"/>
      </w:rPr>
    </w:lvl>
    <w:lvl w:ilvl="6" w:tentative="0">
      <w:start w:val="1"/>
      <w:numFmt w:val="decimal"/>
      <w:pStyle w:val="36"/>
      <w:lvlText w:val="%7."/>
      <w:lvlJc w:val="left"/>
      <w:pPr>
        <w:tabs>
          <w:tab w:val="left" w:pos="2359"/>
        </w:tabs>
        <w:ind w:left="2359" w:hanging="284"/>
      </w:pPr>
      <w:rPr>
        <w:rFonts w:hint="default" w:ascii="Times New Roman" w:hAnsi="Times New Roman" w:cs="Book Antiqua"/>
        <w:color w:val="auto"/>
        <w:spacing w:val="0"/>
        <w:w w:val="100"/>
        <w:position w:val="1"/>
        <w:sz w:val="18"/>
        <w:szCs w:val="18"/>
      </w:rPr>
    </w:lvl>
    <w:lvl w:ilvl="7" w:tentative="0">
      <w:start w:val="1"/>
      <w:numFmt w:val="decimal"/>
      <w:pStyle w:val="37"/>
      <w:lvlText w:val="%8."/>
      <w:lvlJc w:val="left"/>
      <w:pPr>
        <w:tabs>
          <w:tab w:val="left" w:pos="454"/>
        </w:tabs>
        <w:ind w:left="454" w:hanging="284"/>
      </w:pPr>
      <w:rPr>
        <w:rFonts w:hint="default" w:ascii="Times New Roman" w:hAnsi="Times New Roman" w:cs="Book Antiqua"/>
        <w:color w:val="auto"/>
        <w:spacing w:val="0"/>
        <w:w w:val="100"/>
        <w:position w:val="1"/>
        <w:sz w:val="18"/>
        <w:szCs w:val="18"/>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zlmZWYwYjZjYWZmZmQxZjk0MGVkZjNjMjcxOTA3ZjgifQ=="/>
  </w:docVars>
  <w:rsids>
    <w:rsidRoot w:val="00172A27"/>
    <w:rsid w:val="00123FE3"/>
    <w:rsid w:val="001301C5"/>
    <w:rsid w:val="00172A27"/>
    <w:rsid w:val="00477707"/>
    <w:rsid w:val="005603E4"/>
    <w:rsid w:val="00791D96"/>
    <w:rsid w:val="009444C8"/>
    <w:rsid w:val="009A3C9A"/>
    <w:rsid w:val="00C424AD"/>
    <w:rsid w:val="00CC1A2E"/>
    <w:rsid w:val="00ED32E4"/>
    <w:rsid w:val="00EE2011"/>
    <w:rsid w:val="00FA736A"/>
    <w:rsid w:val="00FC4153"/>
    <w:rsid w:val="00FD7ED5"/>
    <w:rsid w:val="012D66CB"/>
    <w:rsid w:val="014D3BDD"/>
    <w:rsid w:val="01A56261"/>
    <w:rsid w:val="02040FDF"/>
    <w:rsid w:val="02083795"/>
    <w:rsid w:val="02217FDE"/>
    <w:rsid w:val="02346562"/>
    <w:rsid w:val="02BE3126"/>
    <w:rsid w:val="03393105"/>
    <w:rsid w:val="046B1D8B"/>
    <w:rsid w:val="046E3765"/>
    <w:rsid w:val="05991015"/>
    <w:rsid w:val="05FC2DA4"/>
    <w:rsid w:val="06622CB2"/>
    <w:rsid w:val="06A411DD"/>
    <w:rsid w:val="072D08E0"/>
    <w:rsid w:val="076D7821"/>
    <w:rsid w:val="083A6841"/>
    <w:rsid w:val="08BB2A07"/>
    <w:rsid w:val="08CE455E"/>
    <w:rsid w:val="08EE3671"/>
    <w:rsid w:val="09293C1C"/>
    <w:rsid w:val="092A167C"/>
    <w:rsid w:val="0A310FDA"/>
    <w:rsid w:val="0A634ED8"/>
    <w:rsid w:val="0A69025B"/>
    <w:rsid w:val="0AB131C7"/>
    <w:rsid w:val="0AB539B9"/>
    <w:rsid w:val="0B867103"/>
    <w:rsid w:val="0C397098"/>
    <w:rsid w:val="0C60546A"/>
    <w:rsid w:val="0D48012D"/>
    <w:rsid w:val="0DA26991"/>
    <w:rsid w:val="0ECB4993"/>
    <w:rsid w:val="0F334EAC"/>
    <w:rsid w:val="0F527FC1"/>
    <w:rsid w:val="112A7044"/>
    <w:rsid w:val="123D1FC9"/>
    <w:rsid w:val="127272C1"/>
    <w:rsid w:val="12ED5CBA"/>
    <w:rsid w:val="140B63F8"/>
    <w:rsid w:val="142F0FB1"/>
    <w:rsid w:val="1448764C"/>
    <w:rsid w:val="14C447F8"/>
    <w:rsid w:val="156452D7"/>
    <w:rsid w:val="15983E83"/>
    <w:rsid w:val="164E6A70"/>
    <w:rsid w:val="176F6C9D"/>
    <w:rsid w:val="17936E30"/>
    <w:rsid w:val="18606150"/>
    <w:rsid w:val="19B32EC3"/>
    <w:rsid w:val="1A786886"/>
    <w:rsid w:val="1A9A1875"/>
    <w:rsid w:val="1B54415D"/>
    <w:rsid w:val="1CC7757C"/>
    <w:rsid w:val="1D133DBB"/>
    <w:rsid w:val="1D5379E4"/>
    <w:rsid w:val="1DC008E5"/>
    <w:rsid w:val="1DD86320"/>
    <w:rsid w:val="1EFF5193"/>
    <w:rsid w:val="1F3E25C9"/>
    <w:rsid w:val="1F8905C9"/>
    <w:rsid w:val="1F9A0F77"/>
    <w:rsid w:val="1FEF3071"/>
    <w:rsid w:val="20205D7D"/>
    <w:rsid w:val="2031368A"/>
    <w:rsid w:val="2039362C"/>
    <w:rsid w:val="22D45A08"/>
    <w:rsid w:val="23EB1DA2"/>
    <w:rsid w:val="24875F4B"/>
    <w:rsid w:val="25D6438C"/>
    <w:rsid w:val="25E8311E"/>
    <w:rsid w:val="25E92311"/>
    <w:rsid w:val="261F5D33"/>
    <w:rsid w:val="26445799"/>
    <w:rsid w:val="26D54E03"/>
    <w:rsid w:val="281025C6"/>
    <w:rsid w:val="28126A09"/>
    <w:rsid w:val="28191591"/>
    <w:rsid w:val="29B42C36"/>
    <w:rsid w:val="2A6117E0"/>
    <w:rsid w:val="2A8940C2"/>
    <w:rsid w:val="2A9C2048"/>
    <w:rsid w:val="2B6761B2"/>
    <w:rsid w:val="2B975488"/>
    <w:rsid w:val="2BB05A29"/>
    <w:rsid w:val="2BBE1469"/>
    <w:rsid w:val="2CA84CD4"/>
    <w:rsid w:val="2D0F01FF"/>
    <w:rsid w:val="2D393A69"/>
    <w:rsid w:val="2DEE2BBA"/>
    <w:rsid w:val="2E0860D1"/>
    <w:rsid w:val="2E402CEA"/>
    <w:rsid w:val="2E5A20BA"/>
    <w:rsid w:val="2E9D63F3"/>
    <w:rsid w:val="2ECB5FE2"/>
    <w:rsid w:val="2F204FF5"/>
    <w:rsid w:val="311741D6"/>
    <w:rsid w:val="31F44517"/>
    <w:rsid w:val="32A01FA9"/>
    <w:rsid w:val="337322A8"/>
    <w:rsid w:val="33D53A32"/>
    <w:rsid w:val="34403FA4"/>
    <w:rsid w:val="34AC7869"/>
    <w:rsid w:val="34DB5F68"/>
    <w:rsid w:val="35912415"/>
    <w:rsid w:val="367C5DE2"/>
    <w:rsid w:val="36BD312A"/>
    <w:rsid w:val="371778DF"/>
    <w:rsid w:val="37E62326"/>
    <w:rsid w:val="389B56ED"/>
    <w:rsid w:val="38A511DA"/>
    <w:rsid w:val="3A1B67E7"/>
    <w:rsid w:val="3A7D6982"/>
    <w:rsid w:val="3ABD7024"/>
    <w:rsid w:val="3C047712"/>
    <w:rsid w:val="3CCC5DA0"/>
    <w:rsid w:val="3CD77495"/>
    <w:rsid w:val="3CDE204C"/>
    <w:rsid w:val="3CE16532"/>
    <w:rsid w:val="3CEC69E0"/>
    <w:rsid w:val="3D4445A5"/>
    <w:rsid w:val="3D8923ED"/>
    <w:rsid w:val="3DC27043"/>
    <w:rsid w:val="3DD1395F"/>
    <w:rsid w:val="3E8C010F"/>
    <w:rsid w:val="3EFD65C9"/>
    <w:rsid w:val="400E2C48"/>
    <w:rsid w:val="4033445D"/>
    <w:rsid w:val="403A795B"/>
    <w:rsid w:val="4044389B"/>
    <w:rsid w:val="40C03B09"/>
    <w:rsid w:val="42100EF9"/>
    <w:rsid w:val="42925DB2"/>
    <w:rsid w:val="42D40179"/>
    <w:rsid w:val="434B112E"/>
    <w:rsid w:val="443D1A3B"/>
    <w:rsid w:val="443D3AFC"/>
    <w:rsid w:val="4504286C"/>
    <w:rsid w:val="45343151"/>
    <w:rsid w:val="459736E0"/>
    <w:rsid w:val="46C97C03"/>
    <w:rsid w:val="471A188F"/>
    <w:rsid w:val="472B5FAC"/>
    <w:rsid w:val="48AD79E8"/>
    <w:rsid w:val="48F03340"/>
    <w:rsid w:val="4908486B"/>
    <w:rsid w:val="499C2FD4"/>
    <w:rsid w:val="49B06B1E"/>
    <w:rsid w:val="49DC5C4D"/>
    <w:rsid w:val="4A44006F"/>
    <w:rsid w:val="4B3450B1"/>
    <w:rsid w:val="4BFB311F"/>
    <w:rsid w:val="4DA31AFF"/>
    <w:rsid w:val="4DB34E2F"/>
    <w:rsid w:val="4DB87F36"/>
    <w:rsid w:val="4DDF7FC8"/>
    <w:rsid w:val="4E3D26EE"/>
    <w:rsid w:val="4EDD59B8"/>
    <w:rsid w:val="50DE6FEF"/>
    <w:rsid w:val="513444D8"/>
    <w:rsid w:val="515756D7"/>
    <w:rsid w:val="52413449"/>
    <w:rsid w:val="52871060"/>
    <w:rsid w:val="52ED4007"/>
    <w:rsid w:val="531075E5"/>
    <w:rsid w:val="54210D44"/>
    <w:rsid w:val="54227B28"/>
    <w:rsid w:val="54A81A34"/>
    <w:rsid w:val="55241729"/>
    <w:rsid w:val="55A27C63"/>
    <w:rsid w:val="55A710AE"/>
    <w:rsid w:val="55B35218"/>
    <w:rsid w:val="560F1B9D"/>
    <w:rsid w:val="57645366"/>
    <w:rsid w:val="57BF2D4E"/>
    <w:rsid w:val="589A2E73"/>
    <w:rsid w:val="58B74CBC"/>
    <w:rsid w:val="58FA7DB6"/>
    <w:rsid w:val="598A3C77"/>
    <w:rsid w:val="5B2814D9"/>
    <w:rsid w:val="5B8F6EDB"/>
    <w:rsid w:val="5BAB3813"/>
    <w:rsid w:val="5D4D1D73"/>
    <w:rsid w:val="5D972077"/>
    <w:rsid w:val="5E8E770E"/>
    <w:rsid w:val="623B7383"/>
    <w:rsid w:val="63166D1A"/>
    <w:rsid w:val="631D301E"/>
    <w:rsid w:val="64BB2AEF"/>
    <w:rsid w:val="658571E6"/>
    <w:rsid w:val="65922BE0"/>
    <w:rsid w:val="65CF770C"/>
    <w:rsid w:val="6635242D"/>
    <w:rsid w:val="66C67529"/>
    <w:rsid w:val="67852F40"/>
    <w:rsid w:val="678E6299"/>
    <w:rsid w:val="680622D3"/>
    <w:rsid w:val="6848579D"/>
    <w:rsid w:val="69A753F0"/>
    <w:rsid w:val="6AC458C1"/>
    <w:rsid w:val="6AC87D14"/>
    <w:rsid w:val="6AF27A26"/>
    <w:rsid w:val="6B2D401B"/>
    <w:rsid w:val="6B686E01"/>
    <w:rsid w:val="6C083654"/>
    <w:rsid w:val="6C094604"/>
    <w:rsid w:val="6C751B3B"/>
    <w:rsid w:val="6D0E5786"/>
    <w:rsid w:val="6DC37643"/>
    <w:rsid w:val="6E182D60"/>
    <w:rsid w:val="6E354925"/>
    <w:rsid w:val="6E4A295F"/>
    <w:rsid w:val="6EAE5472"/>
    <w:rsid w:val="6ED924EF"/>
    <w:rsid w:val="6F0E046E"/>
    <w:rsid w:val="6FE03650"/>
    <w:rsid w:val="70926DFA"/>
    <w:rsid w:val="710B2708"/>
    <w:rsid w:val="724471CD"/>
    <w:rsid w:val="734653CB"/>
    <w:rsid w:val="738D1AFA"/>
    <w:rsid w:val="74963E13"/>
    <w:rsid w:val="75181898"/>
    <w:rsid w:val="75292AD1"/>
    <w:rsid w:val="7553467E"/>
    <w:rsid w:val="760D37CC"/>
    <w:rsid w:val="79870010"/>
    <w:rsid w:val="79E2018B"/>
    <w:rsid w:val="79F012A8"/>
    <w:rsid w:val="7C7F737F"/>
    <w:rsid w:val="7CF20C20"/>
    <w:rsid w:val="7DA154A0"/>
    <w:rsid w:val="7DD345AE"/>
    <w:rsid w:val="7E26070B"/>
    <w:rsid w:val="7E921C8E"/>
    <w:rsid w:val="7F263D72"/>
    <w:rsid w:val="7FD34D3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link w:val="17"/>
    <w:autoRedefine/>
    <w:qFormat/>
    <w:uiPriority w:val="0"/>
    <w:pPr>
      <w:keepNext/>
      <w:keepLines/>
      <w:widowControl/>
      <w:numPr>
        <w:ilvl w:val="1"/>
        <w:numId w:val="1"/>
      </w:numPr>
      <w:topLinePunct/>
      <w:adjustRightInd w:val="0"/>
      <w:snapToGrid w:val="0"/>
      <w:spacing w:before="600" w:after="160" w:line="240" w:lineRule="atLeast"/>
      <w:jc w:val="left"/>
      <w:outlineLvl w:val="1"/>
    </w:pPr>
    <w:rPr>
      <w:rFonts w:hint="eastAsia" w:ascii="Book Antiqua" w:hAnsi="Book Antiqua" w:eastAsia="黑体" w:cs="Book Antiqua"/>
      <w:bCs/>
      <w:kern w:val="0"/>
      <w:sz w:val="36"/>
      <w:szCs w:val="36"/>
      <w:lang w:eastAsia="en-US"/>
    </w:rPr>
  </w:style>
  <w:style w:type="paragraph" w:styleId="3">
    <w:name w:val="heading 3"/>
    <w:basedOn w:val="1"/>
    <w:next w:val="1"/>
    <w:link w:val="18"/>
    <w:autoRedefine/>
    <w:qFormat/>
    <w:uiPriority w:val="0"/>
    <w:pPr>
      <w:keepNext/>
      <w:keepLines/>
      <w:widowControl/>
      <w:numPr>
        <w:ilvl w:val="2"/>
        <w:numId w:val="1"/>
      </w:numPr>
      <w:topLinePunct/>
      <w:adjustRightInd w:val="0"/>
      <w:snapToGrid w:val="0"/>
      <w:spacing w:before="200" w:after="160" w:line="240" w:lineRule="atLeast"/>
      <w:jc w:val="left"/>
      <w:outlineLvl w:val="2"/>
    </w:pPr>
    <w:rPr>
      <w:rFonts w:hint="eastAsia" w:ascii="Book Antiqua" w:hAnsi="Book Antiqua" w:eastAsia="黑体" w:cs="宋体"/>
      <w:kern w:val="0"/>
      <w:sz w:val="32"/>
      <w:szCs w:val="32"/>
    </w:rPr>
  </w:style>
  <w:style w:type="paragraph" w:styleId="4">
    <w:name w:val="heading 4"/>
    <w:basedOn w:val="1"/>
    <w:next w:val="1"/>
    <w:link w:val="19"/>
    <w:autoRedefine/>
    <w:qFormat/>
    <w:uiPriority w:val="0"/>
    <w:pPr>
      <w:keepNext/>
      <w:keepLines/>
      <w:widowControl/>
      <w:numPr>
        <w:ilvl w:val="3"/>
        <w:numId w:val="1"/>
      </w:numPr>
      <w:topLinePunct/>
      <w:adjustRightInd w:val="0"/>
      <w:snapToGrid w:val="0"/>
      <w:spacing w:before="160" w:after="160" w:line="240" w:lineRule="atLeast"/>
      <w:jc w:val="left"/>
      <w:outlineLvl w:val="3"/>
    </w:pPr>
    <w:rPr>
      <w:rFonts w:hint="eastAsia" w:ascii="Book Antiqua" w:hAnsi="Book Antiqua" w:eastAsia="黑体" w:cs="宋体"/>
      <w:kern w:val="0"/>
      <w:sz w:val="28"/>
      <w:szCs w:val="28"/>
    </w:rPr>
  </w:style>
  <w:style w:type="paragraph" w:styleId="5">
    <w:name w:val="heading 5"/>
    <w:basedOn w:val="1"/>
    <w:next w:val="1"/>
    <w:link w:val="20"/>
    <w:autoRedefine/>
    <w:qFormat/>
    <w:uiPriority w:val="0"/>
    <w:pPr>
      <w:keepNext/>
      <w:keepLines/>
      <w:widowControl/>
      <w:numPr>
        <w:ilvl w:val="4"/>
        <w:numId w:val="1"/>
      </w:numPr>
      <w:topLinePunct/>
      <w:adjustRightInd w:val="0"/>
      <w:snapToGrid w:val="0"/>
      <w:spacing w:before="160" w:after="160" w:line="240" w:lineRule="atLeast"/>
      <w:jc w:val="left"/>
      <w:outlineLvl w:val="4"/>
    </w:pPr>
    <w:rPr>
      <w:rFonts w:hint="eastAsia" w:ascii="Book Antiqua" w:hAnsi="Book Antiqua" w:eastAsia="黑体" w:cs="宋体"/>
      <w:kern w:val="0"/>
      <w:sz w:val="24"/>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99"/>
    <w:pPr>
      <w:ind w:firstLine="420" w:firstLineChars="200"/>
    </w:pPr>
  </w:style>
  <w:style w:type="paragraph" w:styleId="7">
    <w:name w:val="Body Text Indent"/>
    <w:basedOn w:val="1"/>
    <w:autoRedefine/>
    <w:qFormat/>
    <w:uiPriority w:val="0"/>
    <w:pPr>
      <w:spacing w:after="120"/>
      <w:ind w:left="420" w:leftChars="200"/>
    </w:pPr>
    <w:rPr>
      <w:lang w:val="zh-CN"/>
    </w:rPr>
  </w:style>
  <w:style w:type="paragraph" w:styleId="8">
    <w:name w:val="Plain Text"/>
    <w:basedOn w:val="1"/>
    <w:autoRedefine/>
    <w:qFormat/>
    <w:uiPriority w:val="0"/>
    <w:rPr>
      <w:rFonts w:ascii="宋体" w:hAnsi="Courier New"/>
      <w:szCs w:val="20"/>
    </w:rPr>
  </w:style>
  <w:style w:type="paragraph" w:styleId="9">
    <w:name w:val="Balloon Text"/>
    <w:basedOn w:val="1"/>
    <w:link w:val="39"/>
    <w:autoRedefine/>
    <w:qFormat/>
    <w:uiPriority w:val="0"/>
    <w:rPr>
      <w:sz w:val="18"/>
      <w:szCs w:val="18"/>
    </w:rPr>
  </w:style>
  <w:style w:type="paragraph" w:styleId="10">
    <w:name w:val="footer"/>
    <w:basedOn w:val="1"/>
    <w:link w:val="16"/>
    <w:autoRedefine/>
    <w:qFormat/>
    <w:uiPriority w:val="0"/>
    <w:pPr>
      <w:tabs>
        <w:tab w:val="center" w:pos="4153"/>
        <w:tab w:val="right" w:pos="8306"/>
      </w:tabs>
      <w:snapToGrid w:val="0"/>
      <w:jc w:val="left"/>
    </w:pPr>
    <w:rPr>
      <w:sz w:val="18"/>
      <w:szCs w:val="18"/>
    </w:rPr>
  </w:style>
  <w:style w:type="paragraph" w:styleId="11">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First Indent 2"/>
    <w:basedOn w:val="7"/>
    <w:autoRedefine/>
    <w:unhideWhenUsed/>
    <w:qFormat/>
    <w:uiPriority w:val="99"/>
    <w:pPr>
      <w:widowControl w:val="0"/>
      <w:snapToGrid/>
      <w:spacing w:after="120" w:line="240" w:lineRule="auto"/>
      <w:ind w:left="420" w:leftChars="200" w:firstLine="420" w:firstLineChars="200"/>
    </w:pPr>
    <w:rPr>
      <w:rFonts w:asciiTheme="minorHAnsi" w:hAnsiTheme="minorHAnsi" w:eastAsiaTheme="minorEastAsia"/>
      <w:spacing w:val="0"/>
      <w:sz w:val="21"/>
      <w:szCs w:val="24"/>
    </w:rPr>
  </w:style>
  <w:style w:type="character" w:customStyle="1" w:styleId="15">
    <w:name w:val="页眉 Char"/>
    <w:basedOn w:val="14"/>
    <w:link w:val="11"/>
    <w:autoRedefine/>
    <w:qFormat/>
    <w:uiPriority w:val="0"/>
    <w:rPr>
      <w:kern w:val="2"/>
      <w:sz w:val="18"/>
      <w:szCs w:val="18"/>
    </w:rPr>
  </w:style>
  <w:style w:type="character" w:customStyle="1" w:styleId="16">
    <w:name w:val="页脚 Char"/>
    <w:basedOn w:val="14"/>
    <w:link w:val="10"/>
    <w:autoRedefine/>
    <w:qFormat/>
    <w:uiPriority w:val="0"/>
    <w:rPr>
      <w:kern w:val="2"/>
      <w:sz w:val="18"/>
      <w:szCs w:val="18"/>
    </w:rPr>
  </w:style>
  <w:style w:type="character" w:customStyle="1" w:styleId="17">
    <w:name w:val="标题 2 Char"/>
    <w:basedOn w:val="14"/>
    <w:link w:val="2"/>
    <w:autoRedefine/>
    <w:qFormat/>
    <w:uiPriority w:val="0"/>
    <w:rPr>
      <w:rFonts w:ascii="Book Antiqua" w:hAnsi="Book Antiqua" w:eastAsia="黑体" w:cs="Book Antiqua"/>
      <w:bCs/>
      <w:sz w:val="36"/>
      <w:szCs w:val="36"/>
      <w:lang w:eastAsia="en-US"/>
    </w:rPr>
  </w:style>
  <w:style w:type="character" w:customStyle="1" w:styleId="18">
    <w:name w:val="标题 3 Char"/>
    <w:basedOn w:val="14"/>
    <w:link w:val="3"/>
    <w:autoRedefine/>
    <w:qFormat/>
    <w:uiPriority w:val="0"/>
    <w:rPr>
      <w:rFonts w:ascii="Book Antiqua" w:hAnsi="Book Antiqua" w:eastAsia="黑体" w:cs="宋体"/>
      <w:sz w:val="32"/>
      <w:szCs w:val="32"/>
    </w:rPr>
  </w:style>
  <w:style w:type="character" w:customStyle="1" w:styleId="19">
    <w:name w:val="标题 4 Char"/>
    <w:basedOn w:val="14"/>
    <w:link w:val="4"/>
    <w:autoRedefine/>
    <w:qFormat/>
    <w:uiPriority w:val="0"/>
    <w:rPr>
      <w:rFonts w:ascii="Book Antiqua" w:hAnsi="Book Antiqua" w:eastAsia="黑体" w:cs="宋体"/>
      <w:sz w:val="28"/>
      <w:szCs w:val="28"/>
    </w:rPr>
  </w:style>
  <w:style w:type="character" w:customStyle="1" w:styleId="20">
    <w:name w:val="标题 5 Char"/>
    <w:basedOn w:val="14"/>
    <w:link w:val="5"/>
    <w:autoRedefine/>
    <w:qFormat/>
    <w:uiPriority w:val="0"/>
    <w:rPr>
      <w:rFonts w:ascii="Book Antiqua" w:hAnsi="Book Antiqua" w:eastAsia="黑体" w:cs="宋体"/>
      <w:sz w:val="24"/>
      <w:szCs w:val="24"/>
    </w:rPr>
  </w:style>
  <w:style w:type="paragraph" w:styleId="21">
    <w:name w:val="List Paragraph"/>
    <w:basedOn w:val="1"/>
    <w:link w:val="22"/>
    <w:autoRedefine/>
    <w:qFormat/>
    <w:uiPriority w:val="34"/>
    <w:pPr>
      <w:ind w:firstLine="420" w:firstLineChars="200"/>
    </w:pPr>
    <w:rPr>
      <w:rFonts w:asciiTheme="minorHAnsi" w:hAnsiTheme="minorHAnsi" w:eastAsiaTheme="minorEastAsia" w:cstheme="minorBidi"/>
      <w:szCs w:val="22"/>
    </w:rPr>
  </w:style>
  <w:style w:type="character" w:customStyle="1" w:styleId="22">
    <w:name w:val="列出段落 Char"/>
    <w:link w:val="21"/>
    <w:autoRedefine/>
    <w:qFormat/>
    <w:uiPriority w:val="34"/>
    <w:rPr>
      <w:rFonts w:asciiTheme="minorHAnsi" w:hAnsiTheme="minorHAnsi" w:eastAsiaTheme="minorEastAsia" w:cstheme="minorBidi"/>
      <w:kern w:val="2"/>
      <w:sz w:val="21"/>
      <w:szCs w:val="22"/>
    </w:rPr>
  </w:style>
  <w:style w:type="character" w:customStyle="1" w:styleId="23">
    <w:name w:val="Item Step in table Char Char"/>
    <w:link w:val="24"/>
    <w:autoRedefine/>
    <w:qFormat/>
    <w:uiPriority w:val="0"/>
    <w:rPr>
      <w:rFonts w:cs="Arial"/>
      <w:bCs/>
      <w:szCs w:val="28"/>
    </w:rPr>
  </w:style>
  <w:style w:type="paragraph" w:customStyle="1" w:styleId="24">
    <w:name w:val="Item Step in table"/>
    <w:basedOn w:val="5"/>
    <w:link w:val="23"/>
    <w:autoRedefine/>
    <w:qFormat/>
    <w:uiPriority w:val="0"/>
    <w:pPr>
      <w:numPr>
        <w:ilvl w:val="0"/>
        <w:numId w:val="0"/>
      </w:numPr>
      <w:tabs>
        <w:tab w:val="left" w:pos="420"/>
      </w:tabs>
      <w:spacing w:before="80" w:after="80" w:line="240" w:lineRule="auto"/>
      <w:ind w:left="420" w:hanging="420"/>
    </w:pPr>
    <w:rPr>
      <w:rFonts w:hint="default" w:ascii="Times New Roman" w:hAnsi="Times New Roman" w:eastAsia="宋体" w:cs="Arial"/>
      <w:bCs/>
      <w:sz w:val="20"/>
      <w:szCs w:val="28"/>
    </w:rPr>
  </w:style>
  <w:style w:type="paragraph" w:customStyle="1" w:styleId="25">
    <w:name w:val="Block Label"/>
    <w:basedOn w:val="1"/>
    <w:next w:val="1"/>
    <w:autoRedefine/>
    <w:qFormat/>
    <w:uiPriority w:val="0"/>
    <w:pPr>
      <w:keepNext/>
      <w:keepLines/>
      <w:widowControl/>
      <w:numPr>
        <w:ilvl w:val="5"/>
        <w:numId w:val="1"/>
      </w:numPr>
      <w:topLinePunct/>
      <w:adjustRightInd w:val="0"/>
      <w:snapToGrid w:val="0"/>
      <w:spacing w:before="300" w:after="80" w:line="240" w:lineRule="atLeast"/>
      <w:jc w:val="left"/>
    </w:pPr>
    <w:rPr>
      <w:rFonts w:hint="eastAsia" w:ascii="Book Antiqua" w:hAnsi="Book Antiqua" w:eastAsia="黑体" w:cs="Book Antiqua"/>
      <w:bCs/>
      <w:kern w:val="0"/>
      <w:sz w:val="26"/>
      <w:szCs w:val="26"/>
    </w:rPr>
  </w:style>
  <w:style w:type="paragraph" w:customStyle="1" w:styleId="26">
    <w:name w:val="Table Description"/>
    <w:basedOn w:val="1"/>
    <w:next w:val="1"/>
    <w:autoRedefine/>
    <w:qFormat/>
    <w:uiPriority w:val="0"/>
    <w:pPr>
      <w:keepNext/>
      <w:widowControl/>
      <w:numPr>
        <w:ilvl w:val="8"/>
        <w:numId w:val="1"/>
      </w:numPr>
      <w:topLinePunct/>
      <w:adjustRightInd w:val="0"/>
      <w:snapToGrid w:val="0"/>
      <w:spacing w:before="320" w:after="80" w:line="240" w:lineRule="atLeast"/>
      <w:jc w:val="left"/>
    </w:pPr>
    <w:rPr>
      <w:rFonts w:hint="eastAsia" w:eastAsia="黑体" w:cs="Arial"/>
      <w:spacing w:val="-4"/>
      <w:szCs w:val="21"/>
    </w:rPr>
  </w:style>
  <w:style w:type="character" w:customStyle="1" w:styleId="27">
    <w:name w:val="Table Text Char"/>
    <w:link w:val="28"/>
    <w:autoRedefine/>
    <w:qFormat/>
    <w:uiPriority w:val="0"/>
    <w:rPr>
      <w:rFonts w:cs="Arial"/>
      <w:szCs w:val="21"/>
    </w:rPr>
  </w:style>
  <w:style w:type="paragraph" w:customStyle="1" w:styleId="28">
    <w:name w:val="Table Text"/>
    <w:basedOn w:val="1"/>
    <w:link w:val="27"/>
    <w:autoRedefine/>
    <w:qFormat/>
    <w:uiPriority w:val="0"/>
    <w:pPr>
      <w:topLinePunct/>
      <w:adjustRightInd w:val="0"/>
      <w:snapToGrid w:val="0"/>
      <w:spacing w:before="80" w:after="80" w:line="240" w:lineRule="atLeast"/>
      <w:jc w:val="left"/>
    </w:pPr>
    <w:rPr>
      <w:rFonts w:cs="Arial"/>
      <w:kern w:val="0"/>
      <w:sz w:val="20"/>
      <w:szCs w:val="21"/>
    </w:rPr>
  </w:style>
  <w:style w:type="paragraph" w:customStyle="1" w:styleId="29">
    <w:name w:val="Step"/>
    <w:basedOn w:val="1"/>
    <w:autoRedefine/>
    <w:qFormat/>
    <w:uiPriority w:val="0"/>
    <w:pPr>
      <w:widowControl/>
      <w:numPr>
        <w:ilvl w:val="6"/>
        <w:numId w:val="1"/>
      </w:numPr>
      <w:topLinePunct/>
      <w:adjustRightInd w:val="0"/>
      <w:snapToGrid w:val="0"/>
      <w:spacing w:before="160" w:after="160" w:line="240" w:lineRule="atLeast"/>
      <w:jc w:val="left"/>
    </w:pPr>
    <w:rPr>
      <w:rFonts w:hint="eastAsia" w:cs="Arial"/>
      <w:snapToGrid w:val="0"/>
      <w:kern w:val="0"/>
      <w:szCs w:val="21"/>
    </w:rPr>
  </w:style>
  <w:style w:type="paragraph" w:customStyle="1" w:styleId="30">
    <w:name w:val="CAUTION Text Step"/>
    <w:basedOn w:val="1"/>
    <w:autoRedefine/>
    <w:qFormat/>
    <w:uiPriority w:val="0"/>
    <w:pPr>
      <w:keepNext/>
      <w:keepLines/>
      <w:widowControl/>
      <w:numPr>
        <w:ilvl w:val="5"/>
        <w:numId w:val="2"/>
      </w:numPr>
      <w:pBdr>
        <w:bottom w:val="single" w:color="auto" w:sz="12" w:space="4"/>
      </w:pBdr>
      <w:topLinePunct/>
      <w:adjustRightInd w:val="0"/>
      <w:snapToGrid w:val="0"/>
      <w:spacing w:before="80" w:after="80" w:line="240" w:lineRule="atLeast"/>
      <w:jc w:val="left"/>
    </w:pPr>
    <w:rPr>
      <w:rFonts w:hint="eastAsia" w:eastAsia="楷体_GB2312" w:cs="Arial"/>
      <w:iCs/>
      <w:szCs w:val="21"/>
    </w:rPr>
  </w:style>
  <w:style w:type="paragraph" w:customStyle="1" w:styleId="31">
    <w:name w:val="Sub Item Step in Table"/>
    <w:autoRedefine/>
    <w:qFormat/>
    <w:uiPriority w:val="0"/>
    <w:pPr>
      <w:numPr>
        <w:ilvl w:val="1"/>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2">
    <w:name w:val="Sub Item List in Table"/>
    <w:basedOn w:val="1"/>
    <w:autoRedefine/>
    <w:qFormat/>
    <w:uiPriority w:val="0"/>
    <w:pPr>
      <w:widowControl/>
      <w:numPr>
        <w:ilvl w:val="2"/>
        <w:numId w:val="2"/>
      </w:numPr>
      <w:topLinePunct/>
      <w:adjustRightInd w:val="0"/>
      <w:snapToGrid w:val="0"/>
      <w:spacing w:before="80" w:after="80" w:line="240" w:lineRule="atLeast"/>
      <w:jc w:val="left"/>
    </w:pPr>
    <w:rPr>
      <w:rFonts w:hint="eastAsia" w:cs="Arial"/>
      <w:szCs w:val="21"/>
    </w:rPr>
  </w:style>
  <w:style w:type="paragraph" w:customStyle="1" w:styleId="33">
    <w:name w:val="Sub Item Step in Table List"/>
    <w:autoRedefine/>
    <w:qFormat/>
    <w:uiPriority w:val="0"/>
    <w:pPr>
      <w:numPr>
        <w:ilvl w:val="3"/>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4">
    <w:name w:val="Item List in Table"/>
    <w:basedOn w:val="1"/>
    <w:autoRedefine/>
    <w:qFormat/>
    <w:uiPriority w:val="99"/>
    <w:pPr>
      <w:widowControl/>
      <w:numPr>
        <w:ilvl w:val="0"/>
        <w:numId w:val="2"/>
      </w:numPr>
      <w:tabs>
        <w:tab w:val="left" w:pos="284"/>
      </w:tabs>
      <w:topLinePunct/>
      <w:adjustRightInd w:val="0"/>
      <w:snapToGrid w:val="0"/>
      <w:spacing w:before="80" w:after="80" w:line="240" w:lineRule="atLeast"/>
      <w:jc w:val="left"/>
    </w:pPr>
    <w:rPr>
      <w:rFonts w:hint="eastAsia" w:cs="Arial"/>
      <w:kern w:val="0"/>
      <w:szCs w:val="21"/>
    </w:rPr>
  </w:style>
  <w:style w:type="paragraph" w:customStyle="1" w:styleId="35">
    <w:name w:val="Figure Description"/>
    <w:next w:val="1"/>
    <w:autoRedefine/>
    <w:qFormat/>
    <w:uiPriority w:val="0"/>
    <w:pPr>
      <w:keepNext/>
      <w:numPr>
        <w:ilvl w:val="7"/>
        <w:numId w:val="1"/>
      </w:numPr>
      <w:adjustRightInd w:val="0"/>
      <w:snapToGrid w:val="0"/>
      <w:spacing w:before="320" w:after="80" w:line="240" w:lineRule="atLeast"/>
    </w:pPr>
    <w:rPr>
      <w:rFonts w:ascii="Times New Roman" w:hAnsi="Times New Roman" w:eastAsia="黑体" w:cs="Arial"/>
      <w:spacing w:val="-4"/>
      <w:kern w:val="2"/>
      <w:sz w:val="21"/>
      <w:szCs w:val="21"/>
      <w:lang w:val="en-US" w:eastAsia="zh-CN" w:bidi="ar-SA"/>
    </w:rPr>
  </w:style>
  <w:style w:type="paragraph" w:customStyle="1" w:styleId="36">
    <w:name w:val="Notes Text Step"/>
    <w:basedOn w:val="30"/>
    <w:autoRedefine/>
    <w:qFormat/>
    <w:uiPriority w:val="0"/>
    <w:pPr>
      <w:numPr>
        <w:ilvl w:val="6"/>
      </w:numPr>
      <w:pBdr>
        <w:bottom w:val="none" w:color="auto" w:sz="0" w:space="0"/>
      </w:pBdr>
      <w:spacing w:before="40" w:line="200" w:lineRule="atLeast"/>
    </w:pPr>
    <w:rPr>
      <w:sz w:val="18"/>
      <w:szCs w:val="18"/>
    </w:rPr>
  </w:style>
  <w:style w:type="paragraph" w:customStyle="1" w:styleId="37">
    <w:name w:val="Notes Text Step in Table"/>
    <w:autoRedefine/>
    <w:qFormat/>
    <w:uiPriority w:val="0"/>
    <w:pPr>
      <w:numPr>
        <w:ilvl w:val="7"/>
        <w:numId w:val="2"/>
      </w:numPr>
      <w:spacing w:before="40" w:after="80" w:line="200" w:lineRule="atLeast"/>
    </w:pPr>
    <w:rPr>
      <w:rFonts w:ascii="Times New Roman" w:hAnsi="Times New Roman" w:eastAsia="楷体_GB2312" w:cs="楷体_GB2312"/>
      <w:sz w:val="18"/>
      <w:szCs w:val="18"/>
      <w:lang w:val="en-US" w:eastAsia="zh-CN" w:bidi="ar-SA"/>
    </w:rPr>
  </w:style>
  <w:style w:type="paragraph" w:customStyle="1" w:styleId="38">
    <w:name w:val="Sub Item List in Table Step"/>
    <w:basedOn w:val="1"/>
    <w:autoRedefine/>
    <w:qFormat/>
    <w:uiPriority w:val="0"/>
    <w:pPr>
      <w:widowControl/>
      <w:numPr>
        <w:ilvl w:val="4"/>
        <w:numId w:val="2"/>
      </w:numPr>
      <w:topLinePunct/>
      <w:adjustRightInd w:val="0"/>
      <w:snapToGrid w:val="0"/>
      <w:spacing w:before="80" w:after="80" w:line="240" w:lineRule="atLeast"/>
      <w:jc w:val="left"/>
    </w:pPr>
    <w:rPr>
      <w:rFonts w:hint="eastAsia" w:cs="Arial"/>
      <w:szCs w:val="21"/>
    </w:rPr>
  </w:style>
  <w:style w:type="character" w:customStyle="1" w:styleId="39">
    <w:name w:val="批注框文本 Char"/>
    <w:basedOn w:val="14"/>
    <w:link w:val="9"/>
    <w:autoRedefine/>
    <w:qFormat/>
    <w:uiPriority w:val="0"/>
    <w:rPr>
      <w:kern w:val="2"/>
      <w:sz w:val="18"/>
      <w:szCs w:val="18"/>
    </w:rPr>
  </w:style>
  <w:style w:type="paragraph" w:customStyle="1" w:styleId="40">
    <w:name w:val="样式 宋体 小四 行距: 1.5 倍行距 首行缩进:  2 字符"/>
    <w:basedOn w:val="1"/>
    <w:autoRedefine/>
    <w:qFormat/>
    <w:uiPriority w:val="99"/>
    <w:pPr>
      <w:spacing w:line="360" w:lineRule="auto"/>
      <w:ind w:firstLine="480" w:firstLineChars="200"/>
    </w:pPr>
    <w:rPr>
      <w:rFonts w:ascii="Times New Roman" w:hAnsi="Times New Roman" w:cs="宋体"/>
    </w:rPr>
  </w:style>
  <w:style w:type="character" w:customStyle="1" w:styleId="41">
    <w:name w:val="font21"/>
    <w:basedOn w:val="14"/>
    <w:autoRedefine/>
    <w:qFormat/>
    <w:uiPriority w:val="0"/>
    <w:rPr>
      <w:rFonts w:hint="eastAsia" w:ascii="宋体" w:hAnsi="宋体" w:eastAsia="宋体" w:cs="宋体"/>
      <w:color w:val="000000"/>
      <w:sz w:val="20"/>
      <w:szCs w:val="20"/>
      <w:u w:val="none"/>
    </w:rPr>
  </w:style>
  <w:style w:type="character" w:customStyle="1" w:styleId="42">
    <w:name w:val="font31"/>
    <w:basedOn w:val="14"/>
    <w:autoRedefine/>
    <w:qFormat/>
    <w:uiPriority w:val="0"/>
    <w:rPr>
      <w:rFonts w:hint="default" w:ascii="Times New Roman" w:hAnsi="Times New Roman" w:cs="Times New Roman"/>
      <w:color w:val="000000"/>
      <w:sz w:val="20"/>
      <w:szCs w:val="20"/>
      <w:u w:val="none"/>
    </w:rPr>
  </w:style>
  <w:style w:type="character" w:customStyle="1" w:styleId="43">
    <w:name w:val="font41"/>
    <w:basedOn w:val="14"/>
    <w:autoRedefine/>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433</Words>
  <Characters>503</Characters>
  <Lines>61</Lines>
  <Paragraphs>17</Paragraphs>
  <TotalTime>0</TotalTime>
  <ScaleCrop>false</ScaleCrop>
  <LinksUpToDate>false</LinksUpToDate>
  <CharactersWithSpaces>559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海色</cp:lastModifiedBy>
  <cp:lastPrinted>2022-10-20T06:50:00Z</cp:lastPrinted>
  <dcterms:modified xsi:type="dcterms:W3CDTF">2024-04-08T02:44:12Z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B75484C30A0D48A998196F431A9A3E69</vt:lpwstr>
  </property>
</Properties>
</file>