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交换机模块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614"/>
        <w:gridCol w:w="1129"/>
        <w:gridCol w:w="700"/>
        <w:gridCol w:w="714"/>
        <w:gridCol w:w="1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61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8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409-2-1-5-4-4-6</w:t>
            </w:r>
          </w:p>
        </w:tc>
        <w:tc>
          <w:tcPr>
            <w:tcW w:w="26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核式万兆网交换机（中心级）48端口千兆以太网电接口模块(RJ45)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中兴交换机8905E扩容板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36000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  <w:bookmarkStart w:id="3" w:name="_GoBack"/>
      <w:bookmarkEnd w:id="3"/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linrc202312@126.com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林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5C15C50"/>
    <w:rsid w:val="760D37CC"/>
    <w:rsid w:val="79870010"/>
    <w:rsid w:val="79E2018B"/>
    <w:rsid w:val="7AFF6799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14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2024-04-07T07:14:05Z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