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 2023-2026 年度机电养护综合管养项目-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机高、机二高、花莞及广佛肇高速路段污水泵等</w:t>
      </w:r>
      <w:r>
        <w:rPr>
          <w:rFonts w:hint="eastAsia" w:cs="Times New Roman"/>
          <w:b/>
          <w:color w:val="000000"/>
          <w:sz w:val="30"/>
          <w:szCs w:val="30"/>
          <w:lang w:eastAsia="zh-CN"/>
        </w:rPr>
        <w:t>采购意向征集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机场、机二高、花莞及广佛肇高速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955"/>
        <w:gridCol w:w="1170"/>
        <w:gridCol w:w="812"/>
        <w:gridCol w:w="838"/>
        <w:gridCol w:w="1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75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交流接触器40A</w:t>
            </w: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7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交流接触器60A</w:t>
            </w: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7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深井泵4000W</w:t>
            </w: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水泵</w:t>
            </w: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9319.00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24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8F45C1E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08210A2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11C3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0495CAA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9C4008A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A12570D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6</TotalTime>
  <ScaleCrop>false</ScaleCrop>
  <LinksUpToDate>false</LinksUpToDate>
  <CharactersWithSpaces>613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2024-03-22T01:49:25Z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B75484C30A0D48A998196F431A9A3E69</vt:lpwstr>
  </property>
</Properties>
</file>