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hint="default" w:ascii="Times New Roman" w:hAnsi="Times New Roman" w:eastAsia="宋体" w:cs="Times New Roman"/>
          <w:b/>
          <w:color w:val="000000"/>
          <w:sz w:val="30"/>
          <w:szCs w:val="30"/>
        </w:rPr>
      </w:pPr>
      <w:r>
        <w:rPr>
          <w:rFonts w:hint="eastAsia" w:cs="Times New Roman"/>
          <w:b/>
          <w:color w:val="000000"/>
          <w:sz w:val="30"/>
          <w:szCs w:val="30"/>
          <w:lang w:val="en-US" w:eastAsia="zh-CN"/>
        </w:rPr>
        <w:t>广州珠江黄埔大桥建设有限公司收费系统软件升级改造项目软件升级服务采购意向征集公告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default" w:ascii="Times New Roman" w:hAnsi="Times New Roman" w:eastAsia="宋体" w:cs="Times New Roman"/>
          <w:b/>
          <w:snapToGrid w:val="0"/>
          <w:kern w:val="0"/>
          <w:sz w:val="24"/>
          <w:szCs w:val="24"/>
          <w:lang w:val="en-US" w:eastAsia="zh-CN" w:bidi="ar-SA"/>
        </w:rPr>
        <w:t>1.</w:t>
      </w:r>
      <w:r>
        <w:rPr>
          <w:rFonts w:hint="default" w:ascii="Times New Roman" w:hAnsi="Times New Roman" w:eastAsia="宋体" w:cs="Times New Roman"/>
          <w:b/>
          <w:snapToGrid w:val="0"/>
          <w:kern w:val="0"/>
          <w:sz w:val="24"/>
          <w:szCs w:val="24"/>
        </w:rPr>
        <w:t>项目概况</w:t>
      </w: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1.1项目名称：</w:t>
      </w:r>
      <w:r>
        <w:rPr>
          <w:rFonts w:hint="eastAsia" w:ascii="Times New Roman" w:hAnsi="Times New Roman" w:eastAsia="宋体" w:cs="Times New Roman"/>
          <w:bCs/>
          <w:snapToGrid w:val="0"/>
          <w:kern w:val="0"/>
          <w:sz w:val="24"/>
          <w:szCs w:val="24"/>
        </w:rPr>
        <w:t>广州珠江黄埔大桥建设有限公司收费系统软件升级改造</w:t>
      </w:r>
    </w:p>
    <w:p>
      <w:p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1.2项目地点：广州市</w:t>
      </w:r>
    </w:p>
    <w:p>
      <w:pPr>
        <w:numPr>
          <w:ilvl w:val="0"/>
          <w:numId w:val="0"/>
        </w:numPr>
        <w:topLinePunct/>
        <w:spacing w:line="360" w:lineRule="auto"/>
        <w:outlineLvl w:val="1"/>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2.</w:t>
      </w:r>
      <w:r>
        <w:rPr>
          <w:rFonts w:hint="default" w:ascii="Times New Roman" w:hAnsi="Times New Roman" w:eastAsia="宋体" w:cs="Times New Roman"/>
          <w:b/>
          <w:snapToGrid w:val="0"/>
          <w:kern w:val="0"/>
          <w:sz w:val="24"/>
          <w:szCs w:val="24"/>
        </w:rPr>
        <w:t>具体工程量清单</w:t>
      </w:r>
    </w:p>
    <w:tbl>
      <w:tblPr>
        <w:tblStyle w:val="14"/>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2070"/>
        <w:gridCol w:w="1230"/>
        <w:gridCol w:w="1110"/>
        <w:gridCol w:w="1020"/>
        <w:gridCol w:w="3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spacing w:beforeLines="50" w:afterLines="50" w:line="360" w:lineRule="auto"/>
              <w:jc w:val="center"/>
              <w:rPr>
                <w:rFonts w:eastAsiaTheme="minorEastAsia"/>
                <w:szCs w:val="21"/>
              </w:rPr>
            </w:pPr>
            <w:r>
              <w:rPr>
                <w:rFonts w:hAnsiTheme="minorEastAsia" w:eastAsiaTheme="minorEastAsia"/>
                <w:szCs w:val="21"/>
              </w:rPr>
              <w:t>序号</w:t>
            </w:r>
          </w:p>
        </w:tc>
        <w:tc>
          <w:tcPr>
            <w:tcW w:w="2070" w:type="dxa"/>
            <w:shd w:val="clear" w:color="auto" w:fill="auto"/>
            <w:vAlign w:val="center"/>
          </w:tcPr>
          <w:p>
            <w:pPr>
              <w:spacing w:beforeLines="50" w:afterLines="50" w:line="360" w:lineRule="auto"/>
              <w:jc w:val="center"/>
              <w:rPr>
                <w:rFonts w:eastAsiaTheme="minorEastAsia"/>
                <w:szCs w:val="21"/>
              </w:rPr>
            </w:pPr>
            <w:r>
              <w:rPr>
                <w:rFonts w:hAnsiTheme="minorEastAsia" w:eastAsiaTheme="minorEastAsia"/>
                <w:szCs w:val="21"/>
              </w:rPr>
              <w:t>材料</w:t>
            </w:r>
            <w:r>
              <w:rPr>
                <w:rFonts w:eastAsiaTheme="minorEastAsia"/>
                <w:szCs w:val="21"/>
              </w:rPr>
              <w:t>/</w:t>
            </w:r>
            <w:r>
              <w:rPr>
                <w:rFonts w:hAnsiTheme="minorEastAsia" w:eastAsiaTheme="minorEastAsia"/>
                <w:szCs w:val="21"/>
              </w:rPr>
              <w:t>设备名称</w:t>
            </w:r>
          </w:p>
        </w:tc>
        <w:tc>
          <w:tcPr>
            <w:tcW w:w="1230" w:type="dxa"/>
            <w:shd w:val="clear" w:color="auto" w:fill="auto"/>
            <w:vAlign w:val="center"/>
          </w:tcPr>
          <w:p>
            <w:pPr>
              <w:spacing w:beforeLines="50" w:afterLines="50" w:line="360" w:lineRule="auto"/>
              <w:jc w:val="center"/>
              <w:rPr>
                <w:rFonts w:eastAsiaTheme="minorEastAsia"/>
                <w:szCs w:val="21"/>
              </w:rPr>
            </w:pPr>
            <w:r>
              <w:rPr>
                <w:rFonts w:hint="eastAsia" w:hAnsiTheme="minorEastAsia" w:eastAsiaTheme="minorEastAsia"/>
                <w:szCs w:val="21"/>
                <w:lang w:val="en-US" w:eastAsia="zh-CN"/>
              </w:rPr>
              <w:t>规格</w:t>
            </w:r>
            <w:r>
              <w:rPr>
                <w:rFonts w:eastAsiaTheme="minorEastAsia"/>
                <w:szCs w:val="21"/>
              </w:rPr>
              <w:t>/</w:t>
            </w:r>
            <w:r>
              <w:rPr>
                <w:rFonts w:hAnsiTheme="minorEastAsia" w:eastAsiaTheme="minorEastAsia"/>
                <w:szCs w:val="21"/>
              </w:rPr>
              <w:t>型号</w:t>
            </w:r>
          </w:p>
        </w:tc>
        <w:tc>
          <w:tcPr>
            <w:tcW w:w="1110" w:type="dxa"/>
            <w:shd w:val="clear" w:color="auto" w:fill="auto"/>
            <w:vAlign w:val="center"/>
          </w:tcPr>
          <w:p>
            <w:pPr>
              <w:spacing w:beforeLines="50" w:afterLines="50" w:line="360" w:lineRule="auto"/>
              <w:jc w:val="center"/>
              <w:rPr>
                <w:rFonts w:eastAsiaTheme="minorEastAsia"/>
                <w:szCs w:val="21"/>
              </w:rPr>
            </w:pPr>
            <w:r>
              <w:rPr>
                <w:rFonts w:hAnsiTheme="minorEastAsia" w:eastAsiaTheme="minorEastAsia"/>
                <w:szCs w:val="21"/>
              </w:rPr>
              <w:t>单位</w:t>
            </w:r>
          </w:p>
        </w:tc>
        <w:tc>
          <w:tcPr>
            <w:tcW w:w="1020" w:type="dxa"/>
            <w:shd w:val="clear" w:color="auto" w:fill="auto"/>
            <w:vAlign w:val="center"/>
          </w:tcPr>
          <w:p>
            <w:pPr>
              <w:spacing w:beforeLines="50" w:afterLines="50" w:line="360" w:lineRule="auto"/>
              <w:jc w:val="center"/>
              <w:rPr>
                <w:rFonts w:eastAsiaTheme="minorEastAsia"/>
                <w:szCs w:val="21"/>
              </w:rPr>
            </w:pPr>
            <w:r>
              <w:rPr>
                <w:rFonts w:hAnsiTheme="minorEastAsia" w:eastAsiaTheme="minorEastAsia"/>
                <w:szCs w:val="21"/>
              </w:rPr>
              <w:t>数量</w:t>
            </w:r>
          </w:p>
        </w:tc>
        <w:tc>
          <w:tcPr>
            <w:tcW w:w="3300" w:type="dxa"/>
            <w:shd w:val="clear" w:color="auto" w:fill="auto"/>
            <w:vAlign w:val="center"/>
          </w:tcPr>
          <w:p>
            <w:pPr>
              <w:spacing w:beforeLines="50" w:afterLines="50" w:line="360" w:lineRule="auto"/>
              <w:jc w:val="center"/>
              <w:rPr>
                <w:rFonts w:eastAsiaTheme="minorEastAsia"/>
                <w:szCs w:val="21"/>
              </w:rPr>
            </w:pPr>
            <w:r>
              <w:rPr>
                <w:rFonts w:hAnsiTheme="minorEastAsia" w:eastAsia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Style w:val="43"/>
                <w:lang w:val="en-US" w:eastAsia="zh-CN" w:bidi="ar"/>
              </w:rPr>
              <w:t>一</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Style w:val="43"/>
                <w:lang w:val="en-US" w:eastAsia="zh-CN" w:bidi="ar"/>
              </w:rPr>
              <w:t>省内专用名单修改升级</w:t>
            </w:r>
          </w:p>
        </w:tc>
        <w:tc>
          <w:tcPr>
            <w:tcW w:w="123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Style w:val="43"/>
                <w:lang w:val="en-US" w:eastAsia="zh-CN" w:bidi="ar"/>
              </w:rPr>
              <w:t>联网收费中心软件升级改造</w:t>
            </w:r>
          </w:p>
        </w:tc>
        <w:tc>
          <w:tcPr>
            <w:tcW w:w="123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新增省内专用名单管理、增加省内专用名单下发、路段库数据结构调整、软件部署及调试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Style w:val="43"/>
                <w:lang w:val="en-US" w:eastAsia="zh-CN" w:bidi="ar"/>
              </w:rPr>
              <w:t>“省-站”通信软件升级改造</w:t>
            </w:r>
          </w:p>
        </w:tc>
        <w:tc>
          <w:tcPr>
            <w:tcW w:w="123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参数传输改造：新增省内专用名单的接收与下发、软件部署及调试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Style w:val="43"/>
                <w:lang w:val="en-US" w:eastAsia="zh-CN" w:bidi="ar"/>
              </w:rPr>
              <w:t>联网收费站级软件升级改造</w:t>
            </w:r>
          </w:p>
        </w:tc>
        <w:tc>
          <w:tcPr>
            <w:tcW w:w="123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站库数据结施调整：收器站数据上传改造升级、软件部署及调试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4</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Style w:val="43"/>
                <w:lang w:val="en-US" w:eastAsia="zh-CN" w:bidi="ar"/>
              </w:rPr>
              <w:t>车道联网牧费系统升级改造</w:t>
            </w:r>
          </w:p>
        </w:tc>
        <w:tc>
          <w:tcPr>
            <w:tcW w:w="123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Fonts w:hint="eastAsia" w:ascii="宋体" w:hAnsi="宋体" w:eastAsia="宋体" w:cs="宋体"/>
                <w:i w:val="0"/>
                <w:iCs w:val="0"/>
                <w:color w:val="000000"/>
                <w:kern w:val="0"/>
                <w:sz w:val="20"/>
                <w:szCs w:val="20"/>
                <w:u w:val="none"/>
                <w:lang w:val="en-US" w:eastAsia="zh-CN" w:bidi="ar"/>
              </w:rPr>
              <w:t>42</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新增省内专用名单的下载、车辆省内名单处理流程、流水上传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二</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Fonts w:hint="eastAsia" w:ascii="宋体" w:hAnsi="宋体" w:eastAsia="宋体" w:cs="宋体"/>
                <w:i w:val="0"/>
                <w:iCs w:val="0"/>
                <w:color w:val="000000"/>
                <w:kern w:val="0"/>
                <w:sz w:val="20"/>
                <w:szCs w:val="20"/>
                <w:u w:val="none"/>
                <w:lang w:val="en-US" w:eastAsia="zh-CN" w:bidi="ar"/>
              </w:rPr>
              <w:t>灵稽E动系统升级</w:t>
            </w:r>
          </w:p>
        </w:tc>
        <w:tc>
          <w:tcPr>
            <w:tcW w:w="1230" w:type="dxa"/>
            <w:shd w:val="clear" w:color="auto" w:fill="auto"/>
            <w:vAlign w:val="center"/>
          </w:tcPr>
          <w:p>
            <w:pPr>
              <w:keepNext w:val="0"/>
              <w:keepLines w:val="0"/>
              <w:widowControl/>
              <w:suppressLineNumbers w:val="0"/>
              <w:jc w:val="center"/>
              <w:textAlignment w:val="center"/>
              <w:rPr>
                <w:rFonts w:hint="default" w:hAnsiTheme="minorEastAsia" w:eastAsiaTheme="minorEastAsia"/>
                <w:color w:val="auto"/>
                <w:szCs w:val="21"/>
                <w:lang w:val="en-US" w:eastAsia="zh-CN"/>
              </w:rPr>
            </w:pPr>
          </w:p>
        </w:tc>
        <w:tc>
          <w:tcPr>
            <w:tcW w:w="111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p>
        </w:tc>
        <w:tc>
          <w:tcPr>
            <w:tcW w:w="1020" w:type="dxa"/>
            <w:shd w:val="clear" w:color="auto" w:fill="auto"/>
            <w:vAlign w:val="center"/>
          </w:tcPr>
          <w:p>
            <w:pPr>
              <w:keepNext w:val="0"/>
              <w:keepLines w:val="0"/>
              <w:widowControl/>
              <w:suppressLineNumbers w:val="0"/>
              <w:jc w:val="center"/>
              <w:textAlignment w:val="center"/>
              <w:rPr>
                <w:rFonts w:hint="default" w:hAnsiTheme="minorEastAsia" w:eastAsiaTheme="minorEastAsia"/>
                <w:color w:val="auto"/>
                <w:szCs w:val="21"/>
                <w:lang w:val="en-US" w:eastAsia="zh-CN"/>
              </w:rPr>
            </w:pPr>
          </w:p>
        </w:tc>
        <w:tc>
          <w:tcPr>
            <w:tcW w:w="3300" w:type="dxa"/>
            <w:shd w:val="clear" w:color="auto" w:fill="auto"/>
            <w:vAlign w:val="center"/>
          </w:tcPr>
          <w:p>
            <w:pPr>
              <w:widowControl/>
              <w:jc w:val="center"/>
              <w:textAlignment w:val="center"/>
              <w:rPr>
                <w:rFonts w:hint="default" w:eastAsia="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1</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Fonts w:hint="eastAsia" w:ascii="宋体" w:hAnsi="宋体" w:eastAsia="宋体" w:cs="宋体"/>
                <w:i w:val="0"/>
                <w:iCs w:val="0"/>
                <w:color w:val="000000"/>
                <w:kern w:val="0"/>
                <w:sz w:val="20"/>
                <w:szCs w:val="20"/>
                <w:u w:val="none"/>
                <w:lang w:val="en-US" w:eastAsia="zh-CN" w:bidi="ar"/>
              </w:rPr>
              <w:t>灵稽E动系统升级</w:t>
            </w:r>
          </w:p>
        </w:tc>
        <w:tc>
          <w:tcPr>
            <w:tcW w:w="1230" w:type="dxa"/>
            <w:shd w:val="clear" w:color="auto" w:fill="auto"/>
            <w:vAlign w:val="center"/>
          </w:tcPr>
          <w:p>
            <w:pPr>
              <w:keepNext w:val="0"/>
              <w:keepLines w:val="0"/>
              <w:widowControl/>
              <w:suppressLineNumbers w:val="0"/>
              <w:jc w:val="center"/>
              <w:textAlignment w:val="center"/>
              <w:rPr>
                <w:rFonts w:hint="default" w:hAnsiTheme="minorEastAsia" w:eastAsiaTheme="minorEastAsia"/>
                <w:color w:val="auto"/>
                <w:szCs w:val="21"/>
                <w:lang w:val="en-US" w:eastAsia="zh-CN"/>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1</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1.灵稽E动前端界面展示；2.灵稽E动后端开发</w:t>
            </w:r>
            <w:r>
              <w:rPr>
                <w:rStyle w:val="43"/>
                <w:rFonts w:hint="eastAsia"/>
                <w:i w:val="0"/>
                <w:iCs w:val="0"/>
                <w:lang w:val="en-US" w:eastAsia="zh-CN" w:bidi="ar"/>
              </w:rPr>
              <w:br w:type="textWrapping"/>
            </w:r>
            <w:r>
              <w:rPr>
                <w:rStyle w:val="43"/>
                <w:rFonts w:hint="eastAsia"/>
                <w:i w:val="0"/>
                <w:iCs w:val="0"/>
                <w:lang w:val="en-US" w:eastAsia="zh-CN" w:bidi="ar"/>
              </w:rPr>
              <w:t>3.数据中台服务开发；</w:t>
            </w:r>
            <w:r>
              <w:rPr>
                <w:rStyle w:val="43"/>
                <w:rFonts w:hint="eastAsia"/>
                <w:i w:val="0"/>
                <w:iCs w:val="0"/>
                <w:lang w:val="en-US" w:eastAsia="zh-CN" w:bidi="ar"/>
              </w:rPr>
              <w:br w:type="textWrapping"/>
            </w:r>
            <w:r>
              <w:rPr>
                <w:rStyle w:val="43"/>
                <w:rFonts w:hint="eastAsia"/>
                <w:i w:val="0"/>
                <w:iCs w:val="0"/>
                <w:lang w:val="en-US" w:eastAsia="zh-CN" w:bidi="ar"/>
              </w:rPr>
              <w:t>4.ETC对账平台有入无出分析；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2</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Fonts w:hint="eastAsia" w:ascii="宋体" w:hAnsi="宋体" w:eastAsia="宋体" w:cs="宋体"/>
                <w:i w:val="0"/>
                <w:iCs w:val="0"/>
                <w:color w:val="000000"/>
                <w:kern w:val="0"/>
                <w:sz w:val="20"/>
                <w:szCs w:val="20"/>
                <w:u w:val="none"/>
                <w:lang w:val="en-US" w:eastAsia="zh-CN" w:bidi="ar"/>
              </w:rPr>
              <w:t>自动化工单模块</w:t>
            </w:r>
          </w:p>
        </w:tc>
        <w:tc>
          <w:tcPr>
            <w:tcW w:w="1230" w:type="dxa"/>
            <w:shd w:val="clear" w:color="auto" w:fill="auto"/>
            <w:vAlign w:val="center"/>
          </w:tcPr>
          <w:p>
            <w:pPr>
              <w:keepNext w:val="0"/>
              <w:keepLines w:val="0"/>
              <w:widowControl/>
              <w:suppressLineNumbers w:val="0"/>
              <w:jc w:val="center"/>
              <w:textAlignment w:val="center"/>
              <w:rPr>
                <w:rFonts w:hint="default" w:hAnsiTheme="minorEastAsia" w:eastAsiaTheme="minorEastAsia"/>
                <w:color w:val="auto"/>
                <w:szCs w:val="21"/>
                <w:lang w:val="en-US" w:eastAsia="zh-CN"/>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1</w:t>
            </w:r>
          </w:p>
        </w:tc>
        <w:tc>
          <w:tcPr>
            <w:tcW w:w="330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1.部稽查平台数据爬取；</w:t>
            </w:r>
            <w:r>
              <w:rPr>
                <w:rStyle w:val="43"/>
                <w:rFonts w:hint="eastAsia"/>
                <w:i w:val="0"/>
                <w:iCs w:val="0"/>
                <w:lang w:val="en-US" w:eastAsia="zh-CN" w:bidi="ar"/>
              </w:rPr>
              <w:br w:type="textWrapping"/>
            </w:r>
            <w:r>
              <w:rPr>
                <w:rStyle w:val="43"/>
                <w:rFonts w:hint="eastAsia"/>
                <w:i w:val="0"/>
                <w:iCs w:val="0"/>
                <w:lang w:val="en-US" w:eastAsia="zh-CN" w:bidi="ar"/>
              </w:rPr>
              <w:t>2.部省稽核平台账号登陆时校 验码自动识别模型开发、图象标注和训练</w:t>
            </w:r>
            <w:r>
              <w:rPr>
                <w:rStyle w:val="43"/>
                <w:rFonts w:hint="eastAsia"/>
                <w:i w:val="0"/>
                <w:iCs w:val="0"/>
                <w:lang w:val="en-US" w:eastAsia="zh-CN" w:bidi="ar"/>
              </w:rPr>
              <w:br w:type="textWrapping"/>
            </w:r>
            <w:r>
              <w:rPr>
                <w:rStyle w:val="43"/>
                <w:rFonts w:hint="eastAsia"/>
                <w:i w:val="0"/>
                <w:iCs w:val="0"/>
                <w:lang w:val="en-US" w:eastAsia="zh-CN" w:bidi="ar"/>
              </w:rPr>
              <w:t>3.省稽查平台数据爬取；</w:t>
            </w:r>
            <w:r>
              <w:rPr>
                <w:rStyle w:val="43"/>
                <w:rFonts w:hint="eastAsia"/>
                <w:i w:val="0"/>
                <w:iCs w:val="0"/>
                <w:lang w:val="en-US" w:eastAsia="zh-CN" w:bidi="ar"/>
              </w:rPr>
              <w:br w:type="textWrapping"/>
            </w:r>
            <w:r>
              <w:rPr>
                <w:rStyle w:val="43"/>
                <w:rFonts w:hint="eastAsia"/>
                <w:i w:val="0"/>
                <w:iCs w:val="0"/>
                <w:lang w:val="en-US" w:eastAsia="zh-CN" w:bidi="ar"/>
              </w:rPr>
              <w:t>4.工单数据分析；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879" w:type="dxa"/>
            <w:shd w:val="clear" w:color="auto" w:fill="auto"/>
            <w:vAlign w:val="center"/>
          </w:tcPr>
          <w:p>
            <w:pPr>
              <w:keepNext w:val="0"/>
              <w:keepLines w:val="0"/>
              <w:widowControl/>
              <w:suppressLineNumbers w:val="0"/>
              <w:jc w:val="center"/>
              <w:textAlignment w:val="center"/>
              <w:rPr>
                <w:rFonts w:hint="default" w:hAnsiTheme="minorEastAsia" w:eastAsiaTheme="minorEastAsia"/>
                <w:szCs w:val="21"/>
                <w:lang w:val="en-US" w:eastAsia="zh-CN"/>
              </w:rPr>
            </w:pPr>
            <w:r>
              <w:rPr>
                <w:rFonts w:hint="eastAsia" w:ascii="宋体" w:hAnsi="宋体" w:eastAsia="宋体" w:cs="宋体"/>
                <w:i w:val="0"/>
                <w:iCs w:val="0"/>
                <w:color w:val="000000"/>
                <w:kern w:val="0"/>
                <w:sz w:val="20"/>
                <w:szCs w:val="20"/>
                <w:u w:val="none"/>
                <w:lang w:val="en-US" w:eastAsia="zh-CN" w:bidi="ar"/>
              </w:rPr>
              <w:t>3</w:t>
            </w:r>
          </w:p>
        </w:tc>
        <w:tc>
          <w:tcPr>
            <w:tcW w:w="2070" w:type="dxa"/>
            <w:shd w:val="clear" w:color="auto" w:fill="auto"/>
            <w:vAlign w:val="center"/>
          </w:tcPr>
          <w:p>
            <w:pPr>
              <w:keepNext w:val="0"/>
              <w:keepLines w:val="0"/>
              <w:widowControl/>
              <w:suppressLineNumbers w:val="0"/>
              <w:jc w:val="center"/>
              <w:textAlignment w:val="center"/>
              <w:rPr>
                <w:rFonts w:hint="eastAsia" w:hAnsiTheme="minorEastAsia" w:eastAsiaTheme="minorEastAsia"/>
                <w:color w:val="auto"/>
                <w:szCs w:val="21"/>
                <w:lang w:val="en-US" w:eastAsia="zh-CN"/>
              </w:rPr>
            </w:pPr>
            <w:r>
              <w:rPr>
                <w:rFonts w:hint="eastAsia" w:ascii="宋体" w:hAnsi="宋体" w:eastAsia="宋体" w:cs="宋体"/>
                <w:i w:val="0"/>
                <w:iCs w:val="0"/>
                <w:color w:val="000000"/>
                <w:kern w:val="0"/>
                <w:sz w:val="20"/>
                <w:szCs w:val="20"/>
                <w:u w:val="none"/>
                <w:lang w:val="en-US" w:eastAsia="zh-CN" w:bidi="ar"/>
              </w:rPr>
              <w:t>拆分精算模块</w:t>
            </w:r>
          </w:p>
        </w:tc>
        <w:tc>
          <w:tcPr>
            <w:tcW w:w="1230" w:type="dxa"/>
            <w:shd w:val="clear" w:color="auto" w:fill="auto"/>
            <w:vAlign w:val="center"/>
          </w:tcPr>
          <w:p>
            <w:pPr>
              <w:keepNext w:val="0"/>
              <w:keepLines w:val="0"/>
              <w:widowControl/>
              <w:suppressLineNumbers w:val="0"/>
              <w:jc w:val="center"/>
              <w:textAlignment w:val="center"/>
              <w:rPr>
                <w:rFonts w:hint="default" w:hAnsiTheme="minorEastAsia" w:eastAsiaTheme="minorEastAsia"/>
                <w:color w:val="auto"/>
                <w:szCs w:val="21"/>
                <w:lang w:val="en-US" w:eastAsia="zh-CN"/>
              </w:rPr>
            </w:pPr>
            <w:r>
              <w:rPr>
                <w:rStyle w:val="43"/>
                <w:rFonts w:hint="eastAsia"/>
                <w:i w:val="0"/>
                <w:iCs w:val="0"/>
                <w:lang w:val="en-US" w:eastAsia="zh-CN" w:bidi="ar"/>
              </w:rPr>
              <w:t>定制</w:t>
            </w:r>
          </w:p>
        </w:tc>
        <w:tc>
          <w:tcPr>
            <w:tcW w:w="1110" w:type="dxa"/>
            <w:shd w:val="clear" w:color="auto" w:fill="auto"/>
            <w:vAlign w:val="center"/>
          </w:tcPr>
          <w:p>
            <w:pPr>
              <w:keepNext w:val="0"/>
              <w:keepLines w:val="0"/>
              <w:widowControl/>
              <w:suppressLineNumbers w:val="0"/>
              <w:jc w:val="center"/>
              <w:textAlignment w:val="center"/>
              <w:rPr>
                <w:rStyle w:val="43"/>
                <w:rFonts w:hint="eastAsia"/>
                <w:i w:val="0"/>
                <w:iCs w:val="0"/>
                <w:lang w:val="en-US" w:eastAsia="zh-CN" w:bidi="ar"/>
              </w:rPr>
            </w:pPr>
            <w:r>
              <w:rPr>
                <w:rStyle w:val="43"/>
                <w:rFonts w:hint="eastAsia"/>
                <w:i w:val="0"/>
                <w:iCs w:val="0"/>
                <w:lang w:val="en-US" w:eastAsia="zh-CN" w:bidi="ar"/>
              </w:rPr>
              <w:t>项</w:t>
            </w:r>
          </w:p>
        </w:tc>
        <w:tc>
          <w:tcPr>
            <w:tcW w:w="1020" w:type="dxa"/>
            <w:shd w:val="clear" w:color="auto" w:fill="auto"/>
            <w:vAlign w:val="center"/>
          </w:tcPr>
          <w:p>
            <w:pPr>
              <w:keepNext w:val="0"/>
              <w:keepLines w:val="0"/>
              <w:widowControl/>
              <w:suppressLineNumbers w:val="0"/>
              <w:jc w:val="center"/>
              <w:textAlignment w:val="center"/>
              <w:rPr>
                <w:rStyle w:val="43"/>
                <w:rFonts w:hint="default"/>
                <w:i w:val="0"/>
                <w:iCs w:val="0"/>
                <w:lang w:val="en-US" w:eastAsia="zh-CN" w:bidi="ar"/>
              </w:rPr>
            </w:pPr>
            <w:r>
              <w:rPr>
                <w:rStyle w:val="43"/>
                <w:rFonts w:hint="eastAsia"/>
                <w:i w:val="0"/>
                <w:iCs w:val="0"/>
                <w:lang w:val="en-US" w:eastAsia="zh-CN" w:bidi="ar"/>
              </w:rPr>
              <w:t>1</w:t>
            </w:r>
          </w:p>
        </w:tc>
        <w:tc>
          <w:tcPr>
            <w:tcW w:w="3300" w:type="dxa"/>
            <w:shd w:val="clear" w:color="auto" w:fill="auto"/>
            <w:vAlign w:val="center"/>
          </w:tcPr>
          <w:p>
            <w:pPr>
              <w:keepNext w:val="0"/>
              <w:keepLines w:val="0"/>
              <w:widowControl/>
              <w:suppressLineNumbers w:val="0"/>
              <w:jc w:val="center"/>
              <w:textAlignment w:val="center"/>
              <w:rPr>
                <w:rFonts w:hint="default" w:eastAsia="宋体"/>
                <w:color w:val="000000"/>
                <w:sz w:val="18"/>
                <w:szCs w:val="18"/>
                <w:lang w:val="en-US" w:eastAsia="zh-CN"/>
              </w:rPr>
            </w:pPr>
            <w:r>
              <w:rPr>
                <w:rFonts w:hint="eastAsia" w:ascii="宋体" w:hAnsi="宋体" w:eastAsia="宋体" w:cs="宋体"/>
                <w:i w:val="0"/>
                <w:iCs w:val="0"/>
                <w:color w:val="000000"/>
                <w:kern w:val="0"/>
                <w:sz w:val="20"/>
                <w:szCs w:val="20"/>
                <w:u w:val="none"/>
                <w:lang w:val="en-US" w:eastAsia="zh-CN" w:bidi="ar"/>
              </w:rPr>
              <w:t>1.现金、非现金、移动支付拆分数据与出口结算数据分析核对服务 ；2.现金、非现金、移动支付拆分数据抽取上传大数据平台；</w:t>
            </w:r>
          </w:p>
        </w:tc>
      </w:tr>
    </w:tbl>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p>
    <w:p>
      <w:pPr>
        <w:wordWrap w:val="0"/>
        <w:topLinePunct/>
        <w:spacing w:line="360" w:lineRule="auto"/>
        <w:ind w:firstLine="566" w:firstLineChars="236"/>
        <w:rPr>
          <w:rFonts w:hint="default" w:ascii="Times New Roman" w:hAnsi="Times New Roman" w:eastAsia="宋体" w:cs="Times New Roman"/>
          <w:bCs/>
          <w:snapToGrid w:val="0"/>
          <w:kern w:val="0"/>
          <w:sz w:val="24"/>
          <w:szCs w:val="24"/>
        </w:rPr>
      </w:pPr>
      <w:r>
        <w:rPr>
          <w:rFonts w:hint="default" w:ascii="Times New Roman" w:hAnsi="Times New Roman" w:eastAsia="宋体" w:cs="Times New Roman"/>
          <w:bCs/>
          <w:snapToGrid w:val="0"/>
          <w:kern w:val="0"/>
          <w:sz w:val="24"/>
          <w:szCs w:val="24"/>
        </w:rPr>
        <w:t>清单说明：</w:t>
      </w:r>
    </w:p>
    <w:p>
      <w:pPr>
        <w:numPr>
          <w:ilvl w:val="0"/>
          <w:numId w:val="3"/>
        </w:numPr>
        <w:wordWrap w:val="0"/>
        <w:topLinePunct/>
        <w:spacing w:line="360" w:lineRule="auto"/>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包括运输、保险费、税费、试运行及缺陷的维护等一切费用；</w:t>
      </w:r>
    </w:p>
    <w:p>
      <w:pPr>
        <w:pStyle w:val="6"/>
        <w:numPr>
          <w:ilvl w:val="0"/>
          <w:numId w:val="3"/>
        </w:numPr>
        <w:ind w:firstLine="566" w:firstLineChars="236"/>
        <w:rPr>
          <w:rFonts w:hint="default" w:ascii="Times New Roman" w:hAnsi="Times New Roman" w:eastAsia="宋体" w:cs="Times New Roman"/>
          <w:sz w:val="24"/>
          <w:szCs w:val="24"/>
        </w:rPr>
      </w:pPr>
      <w:r>
        <w:rPr>
          <w:rFonts w:hint="default" w:ascii="Times New Roman" w:hAnsi="Times New Roman" w:eastAsia="宋体" w:cs="Times New Roman"/>
          <w:bCs/>
          <w:snapToGrid w:val="0"/>
          <w:kern w:val="0"/>
          <w:sz w:val="24"/>
          <w:szCs w:val="24"/>
        </w:rPr>
        <w:t>最高限价：</w:t>
      </w:r>
      <w:r>
        <w:rPr>
          <w:rFonts w:hint="eastAsia" w:cs="Times New Roman"/>
          <w:bCs/>
          <w:snapToGrid w:val="0"/>
          <w:kern w:val="0"/>
          <w:sz w:val="24"/>
          <w:szCs w:val="24"/>
          <w:lang w:val="en-US" w:eastAsia="zh-CN"/>
        </w:rPr>
        <w:t>111156.67</w:t>
      </w:r>
      <w:r>
        <w:rPr>
          <w:rFonts w:hint="default" w:ascii="Times New Roman" w:hAnsi="Times New Roman" w:eastAsia="宋体" w:cs="Times New Roman"/>
          <w:bCs/>
          <w:snapToGrid w:val="0"/>
          <w:kern w:val="0"/>
          <w:sz w:val="24"/>
          <w:szCs w:val="24"/>
        </w:rPr>
        <w:t>元。</w:t>
      </w:r>
    </w:p>
    <w:p>
      <w:pPr>
        <w:numPr>
          <w:ilvl w:val="0"/>
          <w:numId w:val="0"/>
        </w:numPr>
        <w:topLinePunct/>
        <w:spacing w:line="360" w:lineRule="auto"/>
        <w:outlineLvl w:val="1"/>
        <w:rPr>
          <w:rFonts w:hint="default"/>
        </w:rPr>
      </w:pPr>
      <w:r>
        <w:rPr>
          <w:rFonts w:hint="eastAsia" w:cs="Times New Roman"/>
          <w:b/>
          <w:bCs/>
          <w:kern w:val="2"/>
          <w:sz w:val="24"/>
          <w:szCs w:val="24"/>
          <w:lang w:val="en-US" w:eastAsia="zh-CN" w:bidi="ar-SA"/>
        </w:rPr>
        <w:t>3</w:t>
      </w:r>
      <w:r>
        <w:rPr>
          <w:rFonts w:hint="default" w:ascii="Times New Roman" w:hAnsi="Times New Roman" w:eastAsia="宋体" w:cs="Times New Roman"/>
          <w:b/>
          <w:bCs/>
          <w:kern w:val="2"/>
          <w:sz w:val="21"/>
          <w:szCs w:val="24"/>
          <w:lang w:val="en-US" w:eastAsia="zh-CN" w:bidi="ar-SA"/>
        </w:rPr>
        <w:t>.</w:t>
      </w:r>
      <w:r>
        <w:rPr>
          <w:rFonts w:hint="default" w:ascii="Times New Roman" w:hAnsi="Times New Roman" w:eastAsia="宋体" w:cs="Times New Roman"/>
          <w:b/>
          <w:snapToGrid w:val="0"/>
          <w:kern w:val="0"/>
          <w:sz w:val="24"/>
          <w:szCs w:val="24"/>
        </w:rPr>
        <w:t>供应商资格条件</w:t>
      </w:r>
    </w:p>
    <w:p>
      <w:pPr>
        <w:pStyle w:val="6"/>
        <w:ind w:firstLine="48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信用信誉良好，所供设备符合本工程量清单设备技术要求。</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r>
        <w:rPr>
          <w:rFonts w:hint="eastAsia" w:cs="Times New Roman"/>
          <w:b/>
          <w:snapToGrid w:val="0"/>
          <w:kern w:val="0"/>
          <w:sz w:val="24"/>
          <w:szCs w:val="24"/>
          <w:lang w:val="en-US" w:eastAsia="zh-CN" w:bidi="ar-SA"/>
        </w:rPr>
        <w:t>4</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响应回执的递交</w:t>
      </w:r>
    </w:p>
    <w:p>
      <w:pPr>
        <w:spacing w:line="360" w:lineRule="auto"/>
        <w:ind w:firstLine="480" w:firstLineChars="200"/>
        <w:rPr>
          <w:rFonts w:hint="default" w:ascii="Times New Roman" w:hAnsi="Times New Roman" w:eastAsia="宋体" w:cs="Times New Roman"/>
          <w:snapToGrid w:val="0"/>
          <w:color w:val="000000"/>
          <w:kern w:val="0"/>
          <w:sz w:val="24"/>
          <w:szCs w:val="24"/>
        </w:rPr>
      </w:pPr>
      <w:r>
        <w:rPr>
          <w:rFonts w:hint="default" w:ascii="Times New Roman" w:hAnsi="Times New Roman" w:eastAsia="宋体" w:cs="Times New Roman"/>
          <w:sz w:val="24"/>
          <w:szCs w:val="24"/>
        </w:rPr>
        <w:t>凡有意参加本次采购且具备履行本项目能力的供应商，请</w:t>
      </w:r>
      <w:r>
        <w:rPr>
          <w:rFonts w:hint="default" w:ascii="Times New Roman" w:hAnsi="Times New Roman" w:eastAsia="宋体" w:cs="Times New Roman"/>
          <w:color w:val="000000"/>
          <w:sz w:val="24"/>
          <w:szCs w:val="24"/>
        </w:rPr>
        <w:t>将附于本公告后的响应回执</w:t>
      </w:r>
      <w:r>
        <w:rPr>
          <w:rFonts w:hint="eastAsia" w:cs="Times New Roman"/>
          <w:color w:val="000000"/>
          <w:sz w:val="24"/>
          <w:szCs w:val="24"/>
          <w:lang w:val="en-US" w:eastAsia="zh-CN"/>
        </w:rPr>
        <w:t>及营业执照</w:t>
      </w:r>
      <w:r>
        <w:rPr>
          <w:rFonts w:hint="default" w:ascii="Times New Roman" w:hAnsi="Times New Roman" w:eastAsia="宋体" w:cs="Times New Roman"/>
          <w:color w:val="000000"/>
          <w:sz w:val="24"/>
          <w:szCs w:val="24"/>
        </w:rPr>
        <w:t>在</w:t>
      </w:r>
      <w:r>
        <w:rPr>
          <w:rFonts w:hint="default" w:ascii="Times New Roman" w:hAnsi="Times New Roman" w:eastAsia="宋体" w:cs="Times New Roman"/>
          <w:color w:val="000000"/>
          <w:sz w:val="24"/>
          <w:szCs w:val="24"/>
          <w:u w:val="single"/>
        </w:rPr>
        <w:t>202</w:t>
      </w:r>
      <w:r>
        <w:rPr>
          <w:rFonts w:hint="eastAsia" w:cs="Times New Roman"/>
          <w:color w:val="000000"/>
          <w:sz w:val="24"/>
          <w:szCs w:val="24"/>
          <w:u w:val="single"/>
          <w:lang w:val="en-US" w:eastAsia="zh-CN"/>
        </w:rPr>
        <w:t>4</w:t>
      </w:r>
      <w:r>
        <w:rPr>
          <w:rFonts w:hint="default" w:ascii="Times New Roman" w:hAnsi="Times New Roman" w:eastAsia="宋体" w:cs="Times New Roman"/>
          <w:color w:val="000000"/>
          <w:sz w:val="24"/>
          <w:szCs w:val="24"/>
          <w:u w:val="single"/>
        </w:rPr>
        <w:t>年</w:t>
      </w:r>
      <w:r>
        <w:rPr>
          <w:rFonts w:hint="eastAsia" w:cs="Times New Roman"/>
          <w:color w:val="000000"/>
          <w:sz w:val="24"/>
          <w:szCs w:val="24"/>
          <w:u w:val="single"/>
          <w:lang w:val="en-US" w:eastAsia="zh-CN"/>
        </w:rPr>
        <w:t>3</w:t>
      </w:r>
      <w:r>
        <w:rPr>
          <w:rFonts w:hint="default" w:ascii="Times New Roman" w:hAnsi="Times New Roman" w:eastAsia="宋体" w:cs="Times New Roman"/>
          <w:color w:val="000000"/>
          <w:sz w:val="24"/>
          <w:szCs w:val="24"/>
          <w:u w:val="single"/>
        </w:rPr>
        <w:t>月</w:t>
      </w:r>
      <w:r>
        <w:rPr>
          <w:rFonts w:hint="eastAsia" w:cs="Times New Roman"/>
          <w:color w:val="000000"/>
          <w:sz w:val="24"/>
          <w:szCs w:val="24"/>
          <w:u w:val="single"/>
          <w:lang w:val="en-US" w:eastAsia="zh-CN"/>
        </w:rPr>
        <w:t>23</w:t>
      </w:r>
      <w:r>
        <w:rPr>
          <w:rFonts w:hint="default" w:ascii="Times New Roman" w:hAnsi="Times New Roman" w:eastAsia="宋体" w:cs="Times New Roman"/>
          <w:color w:val="000000"/>
          <w:sz w:val="24"/>
          <w:szCs w:val="24"/>
          <w:u w:val="single"/>
        </w:rPr>
        <w:t>日</w:t>
      </w:r>
      <w:r>
        <w:rPr>
          <w:rFonts w:hint="eastAsia" w:cs="Times New Roman"/>
          <w:color w:val="000000"/>
          <w:sz w:val="24"/>
          <w:szCs w:val="24"/>
          <w:u w:val="single"/>
          <w:lang w:val="en-US" w:eastAsia="zh-CN"/>
        </w:rPr>
        <w:t>1</w:t>
      </w:r>
      <w:bookmarkStart w:id="3" w:name="_GoBack"/>
      <w:bookmarkEnd w:id="3"/>
      <w:r>
        <w:rPr>
          <w:rFonts w:hint="eastAsia" w:cs="Times New Roman"/>
          <w:color w:val="000000"/>
          <w:sz w:val="24"/>
          <w:szCs w:val="24"/>
          <w:u w:val="single"/>
          <w:lang w:val="en-US" w:eastAsia="zh-CN"/>
        </w:rPr>
        <w:t>2</w:t>
      </w:r>
      <w:r>
        <w:rPr>
          <w:rFonts w:hint="default" w:ascii="Times New Roman" w:hAnsi="Times New Roman" w:eastAsia="宋体" w:cs="Times New Roman"/>
          <w:color w:val="000000"/>
          <w:sz w:val="24"/>
          <w:szCs w:val="24"/>
          <w:u w:val="single"/>
        </w:rPr>
        <w:t>：00</w:t>
      </w:r>
      <w:r>
        <w:rPr>
          <w:rFonts w:hint="default" w:ascii="Times New Roman" w:hAnsi="Times New Roman" w:eastAsia="宋体" w:cs="Times New Roman"/>
          <w:color w:val="000000"/>
          <w:sz w:val="24"/>
          <w:szCs w:val="24"/>
        </w:rPr>
        <w:t>之前发送至采购人邮箱：</w:t>
      </w:r>
      <w:r>
        <w:rPr>
          <w:rFonts w:hint="eastAsia" w:cs="Times New Roman"/>
          <w:color w:val="000000"/>
          <w:sz w:val="24"/>
          <w:szCs w:val="24"/>
          <w:lang w:val="en-US" w:eastAsia="zh-CN"/>
        </w:rPr>
        <w:t>1263635487</w:t>
      </w:r>
      <w:r>
        <w:rPr>
          <w:rFonts w:hint="default" w:ascii="Times New Roman" w:hAnsi="Times New Roman" w:eastAsia="宋体" w:cs="Times New Roman"/>
          <w:snapToGrid w:val="0"/>
          <w:color w:val="000000"/>
          <w:kern w:val="0"/>
          <w:sz w:val="24"/>
          <w:szCs w:val="24"/>
        </w:rPr>
        <w:t>@</w:t>
      </w:r>
      <w:r>
        <w:rPr>
          <w:rFonts w:hint="eastAsia" w:cs="Times New Roman"/>
          <w:snapToGrid w:val="0"/>
          <w:color w:val="000000"/>
          <w:kern w:val="0"/>
          <w:sz w:val="24"/>
          <w:szCs w:val="24"/>
          <w:lang w:val="en-US" w:eastAsia="zh-CN"/>
        </w:rPr>
        <w:t>QQ</w:t>
      </w:r>
      <w:r>
        <w:rPr>
          <w:rFonts w:hint="default" w:ascii="Times New Roman" w:hAnsi="Times New Roman" w:eastAsia="宋体" w:cs="Times New Roman"/>
          <w:snapToGrid w:val="0"/>
          <w:color w:val="000000"/>
          <w:kern w:val="0"/>
          <w:sz w:val="24"/>
          <w:szCs w:val="24"/>
        </w:rPr>
        <w:t>.com，</w:t>
      </w:r>
      <w:r>
        <w:rPr>
          <w:rFonts w:hint="eastAsia"/>
          <w:snapToGrid w:val="0"/>
          <w:color w:val="000000"/>
          <w:kern w:val="0"/>
          <w:sz w:val="24"/>
          <w:lang w:val="en-US" w:eastAsia="zh-CN"/>
        </w:rPr>
        <w:t>回执命名“</w:t>
      </w:r>
      <w:r>
        <w:rPr>
          <w:rFonts w:hint="eastAsia"/>
          <w:snapToGrid w:val="0"/>
          <w:color w:val="FF0000"/>
          <w:kern w:val="0"/>
          <w:sz w:val="24"/>
          <w:lang w:val="en-US" w:eastAsia="zh-CN"/>
        </w:rPr>
        <w:t>XX</w:t>
      </w:r>
      <w:r>
        <w:rPr>
          <w:rFonts w:hint="eastAsia" w:eastAsia="宋体"/>
          <w:snapToGrid w:val="0"/>
          <w:color w:val="FF0000"/>
          <w:kern w:val="0"/>
          <w:sz w:val="24"/>
          <w:lang w:val="en-US" w:eastAsia="zh-CN"/>
        </w:rPr>
        <w:t>项目</w:t>
      </w:r>
      <w:r>
        <w:rPr>
          <w:rFonts w:hint="eastAsia"/>
          <w:snapToGrid w:val="0"/>
          <w:color w:val="FF0000"/>
          <w:kern w:val="0"/>
          <w:sz w:val="24"/>
          <w:lang w:val="en-US" w:eastAsia="zh-CN"/>
        </w:rPr>
        <w:t>xx采购xx供应商响应回执</w:t>
      </w:r>
      <w:r>
        <w:rPr>
          <w:rFonts w:hint="eastAsia"/>
          <w:snapToGrid w:val="0"/>
          <w:color w:val="000000"/>
          <w:kern w:val="0"/>
          <w:sz w:val="24"/>
          <w:lang w:val="en-US" w:eastAsia="zh-CN"/>
        </w:rPr>
        <w:t>”</w:t>
      </w:r>
      <w:r>
        <w:rPr>
          <w:rFonts w:hint="default" w:ascii="Times New Roman" w:hAnsi="Times New Roman" w:eastAsia="宋体" w:cs="Times New Roman"/>
          <w:snapToGrid w:val="0"/>
          <w:color w:val="000000"/>
          <w:kern w:val="0"/>
          <w:sz w:val="24"/>
          <w:szCs w:val="24"/>
        </w:rPr>
        <w:t>逾期无效。采购人在收到响应回执后根据供应商信用信誉等情况进行讨论提议，不再另行发布采购公告。</w:t>
      </w:r>
    </w:p>
    <w:p>
      <w:pPr>
        <w:numPr>
          <w:ilvl w:val="0"/>
          <w:numId w:val="0"/>
        </w:numPr>
        <w:topLinePunct/>
        <w:spacing w:line="360" w:lineRule="auto"/>
        <w:outlineLvl w:val="1"/>
        <w:rPr>
          <w:rFonts w:hint="default" w:ascii="Times New Roman" w:hAnsi="Times New Roman" w:eastAsia="宋体" w:cs="Times New Roman"/>
          <w:b/>
          <w:snapToGrid w:val="0"/>
          <w:kern w:val="0"/>
          <w:sz w:val="24"/>
          <w:szCs w:val="24"/>
        </w:rPr>
      </w:pPr>
      <w:bookmarkStart w:id="0" w:name="_Toc332965960"/>
      <w:bookmarkStart w:id="1" w:name="_Toc332793891"/>
      <w:bookmarkStart w:id="2" w:name="_Toc332793818"/>
      <w:r>
        <w:rPr>
          <w:rFonts w:hint="eastAsia" w:cs="Times New Roman"/>
          <w:b/>
          <w:snapToGrid w:val="0"/>
          <w:kern w:val="0"/>
          <w:sz w:val="24"/>
          <w:szCs w:val="24"/>
          <w:lang w:val="en-US" w:eastAsia="zh-CN" w:bidi="ar-SA"/>
        </w:rPr>
        <w:t>5</w:t>
      </w:r>
      <w:r>
        <w:rPr>
          <w:rFonts w:hint="default" w:ascii="Times New Roman" w:hAnsi="Times New Roman" w:eastAsia="宋体" w:cs="Times New Roman"/>
          <w:b/>
          <w:snapToGrid w:val="0"/>
          <w:kern w:val="0"/>
          <w:sz w:val="24"/>
          <w:szCs w:val="24"/>
          <w:lang w:val="en-US" w:eastAsia="zh-CN" w:bidi="ar-SA"/>
        </w:rPr>
        <w:t>.</w:t>
      </w:r>
      <w:r>
        <w:rPr>
          <w:rFonts w:hint="default" w:ascii="Times New Roman" w:hAnsi="Times New Roman" w:eastAsia="宋体" w:cs="Times New Roman"/>
          <w:b/>
          <w:snapToGrid w:val="0"/>
          <w:kern w:val="0"/>
          <w:sz w:val="24"/>
          <w:szCs w:val="24"/>
        </w:rPr>
        <w:t>联系方式</w:t>
      </w:r>
      <w:bookmarkEnd w:id="0"/>
      <w:bookmarkEnd w:id="1"/>
      <w:bookmarkEnd w:id="2"/>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采购人：广东诚泰交通科技发展有限公司</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采购人地址：广州市番禺区洛浦街道北环路87号道路研究院</w:t>
      </w:r>
      <w:r>
        <w:rPr>
          <w:rFonts w:hint="default" w:ascii="Times New Roman" w:hAnsi="Times New Roman" w:eastAsia="宋体" w:cs="Times New Roman"/>
          <w:color w:val="000000"/>
          <w:sz w:val="24"/>
          <w:szCs w:val="24"/>
          <w:lang w:val="en-US" w:eastAsia="zh-CN"/>
        </w:rPr>
        <w:t>有限公司</w:t>
      </w:r>
      <w:r>
        <w:rPr>
          <w:rFonts w:hint="default" w:ascii="Times New Roman" w:hAnsi="Times New Roman" w:eastAsia="宋体" w:cs="Times New Roman"/>
          <w:color w:val="000000"/>
          <w:sz w:val="24"/>
          <w:szCs w:val="24"/>
        </w:rPr>
        <w:t>二号楼</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  系  人：</w:t>
      </w:r>
      <w:r>
        <w:rPr>
          <w:rFonts w:hint="eastAsia" w:cs="Times New Roman"/>
          <w:color w:val="000000"/>
          <w:sz w:val="24"/>
          <w:szCs w:val="24"/>
          <w:lang w:val="en-US" w:eastAsia="zh-CN"/>
        </w:rPr>
        <w:t>梁</w:t>
      </w:r>
      <w:r>
        <w:rPr>
          <w:rFonts w:hint="default" w:ascii="Times New Roman" w:hAnsi="Times New Roman" w:eastAsia="宋体" w:cs="Times New Roman"/>
          <w:color w:val="000000"/>
          <w:sz w:val="24"/>
          <w:szCs w:val="24"/>
        </w:rPr>
        <w:t>工</w:t>
      </w:r>
    </w:p>
    <w:p>
      <w:pPr>
        <w:topLinePunct/>
        <w:spacing w:line="360" w:lineRule="auto"/>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电      话：020-39185740</w:t>
      </w:r>
    </w:p>
    <w:p>
      <w:pPr>
        <w:topLinePunct/>
        <w:spacing w:line="360" w:lineRule="auto"/>
        <w:jc w:val="right"/>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广东诚泰交通科技发展有限公司</w:t>
      </w:r>
    </w:p>
    <w:p>
      <w:pPr>
        <w:topLinePunct/>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color w:val="000000"/>
          <w:sz w:val="24"/>
          <w:szCs w:val="24"/>
        </w:rPr>
        <w:t xml:space="preserve">                                              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月</w:t>
      </w:r>
      <w:r>
        <w:rPr>
          <w:rFonts w:hint="eastAsia" w:cs="Times New Roman"/>
          <w:color w:val="000000"/>
          <w:sz w:val="24"/>
          <w:szCs w:val="24"/>
          <w:lang w:val="en-US" w:eastAsia="zh-CN"/>
        </w:rPr>
        <w:t>20</w:t>
      </w:r>
      <w:r>
        <w:rPr>
          <w:rFonts w:hint="default" w:ascii="Times New Roman" w:hAnsi="Times New Roman" w:eastAsia="宋体" w:cs="Times New Roman"/>
          <w:color w:val="000000"/>
          <w:sz w:val="24"/>
          <w:szCs w:val="24"/>
        </w:rPr>
        <w:t>日</w:t>
      </w:r>
    </w:p>
    <w:sectPr>
      <w:pgSz w:w="11906" w:h="16838"/>
      <w:pgMar w:top="1157"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Book Antiqua">
    <w:altName w:val="Segoe Print"/>
    <w:panose1 w:val="02040602050305030304"/>
    <w:charset w:val="00"/>
    <w:family w:val="roman"/>
    <w:pitch w:val="default"/>
    <w:sig w:usb0="00000000"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C06D5F"/>
    <w:multiLevelType w:val="singleLevel"/>
    <w:tmpl w:val="CEC06D5F"/>
    <w:lvl w:ilvl="0" w:tentative="0">
      <w:start w:val="1"/>
      <w:numFmt w:val="decimal"/>
      <w:suff w:val="nothing"/>
      <w:lvlText w:val="（%1）"/>
      <w:lvlJc w:val="left"/>
    </w:lvl>
  </w:abstractNum>
  <w:abstractNum w:abstractNumId="1">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2"/>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3"/>
      <w:suff w:val="nothing"/>
      <w:lvlText w:val="%1.%2.%3 "/>
      <w:lvlJc w:val="left"/>
      <w:pPr>
        <w:ind w:left="142" w:firstLine="0"/>
      </w:pPr>
    </w:lvl>
    <w:lvl w:ilvl="3" w:tentative="0">
      <w:start w:val="1"/>
      <w:numFmt w:val="decimal"/>
      <w:lvlRestart w:val="1"/>
      <w:pStyle w:val="4"/>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5"/>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6"/>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30"/>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6"/>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7"/>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2">
    <w:nsid w:val="6E230785"/>
    <w:multiLevelType w:val="multilevel"/>
    <w:tmpl w:val="6E230785"/>
    <w:lvl w:ilvl="0" w:tentative="0">
      <w:start w:val="1"/>
      <w:numFmt w:val="bullet"/>
      <w:pStyle w:val="35"/>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2"/>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4"/>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39"/>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1"/>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7"/>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8"/>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lhMWJlYmM4MDMyNDRkMGJkZWNiNzQxZDViNzAwYTEifQ=="/>
  </w:docVars>
  <w:rsids>
    <w:rsidRoot w:val="00172A27"/>
    <w:rsid w:val="00123FE3"/>
    <w:rsid w:val="001301C5"/>
    <w:rsid w:val="00172A27"/>
    <w:rsid w:val="00477707"/>
    <w:rsid w:val="005603E4"/>
    <w:rsid w:val="00791D96"/>
    <w:rsid w:val="009A3C9A"/>
    <w:rsid w:val="00C424AD"/>
    <w:rsid w:val="00CC1A2E"/>
    <w:rsid w:val="00ED32E4"/>
    <w:rsid w:val="00EE2011"/>
    <w:rsid w:val="00FA736A"/>
    <w:rsid w:val="00FC4153"/>
    <w:rsid w:val="00FD7ED5"/>
    <w:rsid w:val="012D66CB"/>
    <w:rsid w:val="014D3BDD"/>
    <w:rsid w:val="02040FDF"/>
    <w:rsid w:val="02083795"/>
    <w:rsid w:val="02BE3126"/>
    <w:rsid w:val="03393105"/>
    <w:rsid w:val="03563CB7"/>
    <w:rsid w:val="03E96A24"/>
    <w:rsid w:val="046B1D8B"/>
    <w:rsid w:val="046E3765"/>
    <w:rsid w:val="05D76CA1"/>
    <w:rsid w:val="05FC2DA4"/>
    <w:rsid w:val="06622CB2"/>
    <w:rsid w:val="06A411DD"/>
    <w:rsid w:val="072D08E0"/>
    <w:rsid w:val="083A6841"/>
    <w:rsid w:val="08CF1E16"/>
    <w:rsid w:val="08EE3671"/>
    <w:rsid w:val="09117B80"/>
    <w:rsid w:val="09293C1C"/>
    <w:rsid w:val="092A167C"/>
    <w:rsid w:val="0A310FDA"/>
    <w:rsid w:val="0A634ED8"/>
    <w:rsid w:val="0A69025B"/>
    <w:rsid w:val="0AB539B9"/>
    <w:rsid w:val="0B170787"/>
    <w:rsid w:val="0B867103"/>
    <w:rsid w:val="0C397098"/>
    <w:rsid w:val="0DA26991"/>
    <w:rsid w:val="0E3A4B3B"/>
    <w:rsid w:val="0ECB4993"/>
    <w:rsid w:val="112A7044"/>
    <w:rsid w:val="123D1FC9"/>
    <w:rsid w:val="12ED5CBA"/>
    <w:rsid w:val="140B63F8"/>
    <w:rsid w:val="142F0FB1"/>
    <w:rsid w:val="14C447F8"/>
    <w:rsid w:val="156452D7"/>
    <w:rsid w:val="15983E83"/>
    <w:rsid w:val="176F6C9D"/>
    <w:rsid w:val="17936E30"/>
    <w:rsid w:val="185145F5"/>
    <w:rsid w:val="18606150"/>
    <w:rsid w:val="18E02F28"/>
    <w:rsid w:val="19B32EC3"/>
    <w:rsid w:val="19EC0A79"/>
    <w:rsid w:val="1A786886"/>
    <w:rsid w:val="1C654B13"/>
    <w:rsid w:val="1CC7757C"/>
    <w:rsid w:val="1D5379E4"/>
    <w:rsid w:val="1DC008E5"/>
    <w:rsid w:val="1DD86320"/>
    <w:rsid w:val="1EFF5193"/>
    <w:rsid w:val="1F3E25C9"/>
    <w:rsid w:val="1F8905C9"/>
    <w:rsid w:val="1F9A0F77"/>
    <w:rsid w:val="1FEF3071"/>
    <w:rsid w:val="20205D7D"/>
    <w:rsid w:val="2031368A"/>
    <w:rsid w:val="2039362C"/>
    <w:rsid w:val="23A93537"/>
    <w:rsid w:val="24875F4B"/>
    <w:rsid w:val="25D6438C"/>
    <w:rsid w:val="25E92311"/>
    <w:rsid w:val="26445799"/>
    <w:rsid w:val="28126A09"/>
    <w:rsid w:val="29325D7D"/>
    <w:rsid w:val="29B42C36"/>
    <w:rsid w:val="2A6117E0"/>
    <w:rsid w:val="2A8940C2"/>
    <w:rsid w:val="2A9C2048"/>
    <w:rsid w:val="2AD229EB"/>
    <w:rsid w:val="2B5411B0"/>
    <w:rsid w:val="2B975488"/>
    <w:rsid w:val="2BB05A29"/>
    <w:rsid w:val="2BBE1469"/>
    <w:rsid w:val="2CDE1CDD"/>
    <w:rsid w:val="2D393A69"/>
    <w:rsid w:val="2E0860D1"/>
    <w:rsid w:val="2E402CEA"/>
    <w:rsid w:val="2E5A20BA"/>
    <w:rsid w:val="2ECB5FE2"/>
    <w:rsid w:val="31F44517"/>
    <w:rsid w:val="337322A8"/>
    <w:rsid w:val="33923E93"/>
    <w:rsid w:val="33D53A32"/>
    <w:rsid w:val="34403FA4"/>
    <w:rsid w:val="34DB5F68"/>
    <w:rsid w:val="35912415"/>
    <w:rsid w:val="371778DF"/>
    <w:rsid w:val="37E62326"/>
    <w:rsid w:val="38A511DA"/>
    <w:rsid w:val="39056DD9"/>
    <w:rsid w:val="3940212A"/>
    <w:rsid w:val="394D2140"/>
    <w:rsid w:val="3A1B67E7"/>
    <w:rsid w:val="3A7D6982"/>
    <w:rsid w:val="3B943197"/>
    <w:rsid w:val="3C047712"/>
    <w:rsid w:val="3C996FEB"/>
    <w:rsid w:val="3CCC5DA0"/>
    <w:rsid w:val="3CD77495"/>
    <w:rsid w:val="3D4445A5"/>
    <w:rsid w:val="3DC27043"/>
    <w:rsid w:val="3DD1395F"/>
    <w:rsid w:val="3DD51301"/>
    <w:rsid w:val="3E2A0220"/>
    <w:rsid w:val="3E8C010F"/>
    <w:rsid w:val="3EFD65C9"/>
    <w:rsid w:val="400E2C48"/>
    <w:rsid w:val="403A795B"/>
    <w:rsid w:val="4044389B"/>
    <w:rsid w:val="40C03B09"/>
    <w:rsid w:val="42100EF9"/>
    <w:rsid w:val="42474B43"/>
    <w:rsid w:val="42925DB2"/>
    <w:rsid w:val="42D40179"/>
    <w:rsid w:val="434B112E"/>
    <w:rsid w:val="443D1A3B"/>
    <w:rsid w:val="4504286C"/>
    <w:rsid w:val="46C97C03"/>
    <w:rsid w:val="471A188F"/>
    <w:rsid w:val="472B5FAC"/>
    <w:rsid w:val="48AD79E8"/>
    <w:rsid w:val="48F03340"/>
    <w:rsid w:val="49032DD0"/>
    <w:rsid w:val="4908486B"/>
    <w:rsid w:val="49B06B1E"/>
    <w:rsid w:val="49DC5C4D"/>
    <w:rsid w:val="4A44006F"/>
    <w:rsid w:val="4B3450B1"/>
    <w:rsid w:val="4BB800CB"/>
    <w:rsid w:val="4BFB311F"/>
    <w:rsid w:val="4C7148A9"/>
    <w:rsid w:val="4D41787A"/>
    <w:rsid w:val="4DA31AFF"/>
    <w:rsid w:val="4DB34E2F"/>
    <w:rsid w:val="4DB87F36"/>
    <w:rsid w:val="4E082D04"/>
    <w:rsid w:val="50DE6FEF"/>
    <w:rsid w:val="513444D8"/>
    <w:rsid w:val="515756D7"/>
    <w:rsid w:val="52871060"/>
    <w:rsid w:val="52B80E0F"/>
    <w:rsid w:val="52ED4007"/>
    <w:rsid w:val="54210D44"/>
    <w:rsid w:val="54227B28"/>
    <w:rsid w:val="55A27C63"/>
    <w:rsid w:val="55A710AE"/>
    <w:rsid w:val="55B35218"/>
    <w:rsid w:val="560F1B9D"/>
    <w:rsid w:val="566D4F5F"/>
    <w:rsid w:val="576320A6"/>
    <w:rsid w:val="57BF2D4E"/>
    <w:rsid w:val="58B74CBC"/>
    <w:rsid w:val="598A3C77"/>
    <w:rsid w:val="5B2814D9"/>
    <w:rsid w:val="5CF56323"/>
    <w:rsid w:val="5D4D1D73"/>
    <w:rsid w:val="5D972077"/>
    <w:rsid w:val="5E8E770E"/>
    <w:rsid w:val="623B7383"/>
    <w:rsid w:val="63166D1A"/>
    <w:rsid w:val="649F57AA"/>
    <w:rsid w:val="65922BE0"/>
    <w:rsid w:val="65CA5E8C"/>
    <w:rsid w:val="65CF770C"/>
    <w:rsid w:val="680622D3"/>
    <w:rsid w:val="6AC87D14"/>
    <w:rsid w:val="6AF27A26"/>
    <w:rsid w:val="6B2D401B"/>
    <w:rsid w:val="6B686E01"/>
    <w:rsid w:val="6C083654"/>
    <w:rsid w:val="6C094604"/>
    <w:rsid w:val="6C751B3B"/>
    <w:rsid w:val="6DC37643"/>
    <w:rsid w:val="6E182D60"/>
    <w:rsid w:val="6E354925"/>
    <w:rsid w:val="6E4A295F"/>
    <w:rsid w:val="6EAE5472"/>
    <w:rsid w:val="6EC41DCE"/>
    <w:rsid w:val="6ED924EF"/>
    <w:rsid w:val="6FE03650"/>
    <w:rsid w:val="70327008"/>
    <w:rsid w:val="70926DFA"/>
    <w:rsid w:val="710B2708"/>
    <w:rsid w:val="71DB1810"/>
    <w:rsid w:val="72120D71"/>
    <w:rsid w:val="724471CD"/>
    <w:rsid w:val="734653CB"/>
    <w:rsid w:val="74963E13"/>
    <w:rsid w:val="75292AD1"/>
    <w:rsid w:val="7553467E"/>
    <w:rsid w:val="760D37CC"/>
    <w:rsid w:val="76BB6B1C"/>
    <w:rsid w:val="777C4360"/>
    <w:rsid w:val="79870010"/>
    <w:rsid w:val="79E2018B"/>
    <w:rsid w:val="7A7C5C95"/>
    <w:rsid w:val="7B3B62E0"/>
    <w:rsid w:val="7C7F737F"/>
    <w:rsid w:val="7CF20C20"/>
    <w:rsid w:val="7DA154A0"/>
    <w:rsid w:val="7DD345AE"/>
    <w:rsid w:val="7E921C8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link w:val="18"/>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3">
    <w:name w:val="heading 3"/>
    <w:basedOn w:val="1"/>
    <w:next w:val="1"/>
    <w:link w:val="19"/>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4">
    <w:name w:val="heading 4"/>
    <w:basedOn w:val="1"/>
    <w:next w:val="1"/>
    <w:link w:val="20"/>
    <w:autoRedefine/>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5">
    <w:name w:val="heading 5"/>
    <w:basedOn w:val="1"/>
    <w:next w:val="1"/>
    <w:link w:val="21"/>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ind w:firstLine="420" w:firstLineChars="200"/>
    </w:pPr>
  </w:style>
  <w:style w:type="paragraph" w:styleId="7">
    <w:name w:val="Body Text"/>
    <w:basedOn w:val="1"/>
    <w:autoRedefine/>
    <w:unhideWhenUsed/>
    <w:qFormat/>
    <w:uiPriority w:val="99"/>
    <w:pPr>
      <w:spacing w:line="480" w:lineRule="auto"/>
      <w:jc w:val="center"/>
    </w:pPr>
    <w:rPr>
      <w:rFonts w:ascii="宋体"/>
      <w:b/>
      <w:sz w:val="72"/>
      <w:szCs w:val="20"/>
    </w:rPr>
  </w:style>
  <w:style w:type="paragraph" w:styleId="8">
    <w:name w:val="Body Text Indent"/>
    <w:basedOn w:val="1"/>
    <w:autoRedefine/>
    <w:qFormat/>
    <w:uiPriority w:val="0"/>
    <w:pPr>
      <w:spacing w:after="120"/>
      <w:ind w:left="420" w:leftChars="200"/>
    </w:pPr>
    <w:rPr>
      <w:lang w:val="zh-CN"/>
    </w:rPr>
  </w:style>
  <w:style w:type="paragraph" w:styleId="9">
    <w:name w:val="Plain Text"/>
    <w:basedOn w:val="1"/>
    <w:next w:val="1"/>
    <w:autoRedefine/>
    <w:qFormat/>
    <w:uiPriority w:val="0"/>
    <w:rPr>
      <w:rFonts w:ascii="宋体" w:hAnsi="Courier New"/>
      <w:szCs w:val="20"/>
    </w:rPr>
  </w:style>
  <w:style w:type="paragraph" w:styleId="10">
    <w:name w:val="Balloon Text"/>
    <w:basedOn w:val="1"/>
    <w:link w:val="40"/>
    <w:autoRedefine/>
    <w:qFormat/>
    <w:uiPriority w:val="0"/>
    <w:rPr>
      <w:sz w:val="18"/>
      <w:szCs w:val="18"/>
    </w:rPr>
  </w:style>
  <w:style w:type="paragraph" w:styleId="11">
    <w:name w:val="footer"/>
    <w:basedOn w:val="1"/>
    <w:link w:val="17"/>
    <w:autoRedefine/>
    <w:qFormat/>
    <w:uiPriority w:val="0"/>
    <w:pPr>
      <w:tabs>
        <w:tab w:val="center" w:pos="4153"/>
        <w:tab w:val="right" w:pos="8306"/>
      </w:tabs>
      <w:snapToGrid w:val="0"/>
      <w:jc w:val="left"/>
    </w:pPr>
    <w:rPr>
      <w:sz w:val="18"/>
      <w:szCs w:val="18"/>
    </w:rPr>
  </w:style>
  <w:style w:type="paragraph" w:styleId="12">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8"/>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character" w:customStyle="1" w:styleId="16">
    <w:name w:val="页眉 Char"/>
    <w:basedOn w:val="15"/>
    <w:link w:val="12"/>
    <w:autoRedefine/>
    <w:qFormat/>
    <w:uiPriority w:val="0"/>
    <w:rPr>
      <w:kern w:val="2"/>
      <w:sz w:val="18"/>
      <w:szCs w:val="18"/>
    </w:rPr>
  </w:style>
  <w:style w:type="character" w:customStyle="1" w:styleId="17">
    <w:name w:val="页脚 Char"/>
    <w:basedOn w:val="15"/>
    <w:link w:val="11"/>
    <w:autoRedefine/>
    <w:qFormat/>
    <w:uiPriority w:val="0"/>
    <w:rPr>
      <w:kern w:val="2"/>
      <w:sz w:val="18"/>
      <w:szCs w:val="18"/>
    </w:rPr>
  </w:style>
  <w:style w:type="character" w:customStyle="1" w:styleId="18">
    <w:name w:val="标题 2 Char"/>
    <w:basedOn w:val="15"/>
    <w:link w:val="2"/>
    <w:autoRedefine/>
    <w:qFormat/>
    <w:uiPriority w:val="0"/>
    <w:rPr>
      <w:rFonts w:ascii="Book Antiqua" w:hAnsi="Book Antiqua" w:eastAsia="黑体" w:cs="Book Antiqua"/>
      <w:bCs/>
      <w:sz w:val="36"/>
      <w:szCs w:val="36"/>
      <w:lang w:eastAsia="en-US"/>
    </w:rPr>
  </w:style>
  <w:style w:type="character" w:customStyle="1" w:styleId="19">
    <w:name w:val="标题 3 Char"/>
    <w:basedOn w:val="15"/>
    <w:link w:val="3"/>
    <w:autoRedefine/>
    <w:qFormat/>
    <w:uiPriority w:val="0"/>
    <w:rPr>
      <w:rFonts w:ascii="Book Antiqua" w:hAnsi="Book Antiqua" w:eastAsia="黑体" w:cs="宋体"/>
      <w:sz w:val="32"/>
      <w:szCs w:val="32"/>
    </w:rPr>
  </w:style>
  <w:style w:type="character" w:customStyle="1" w:styleId="20">
    <w:name w:val="标题 4 Char"/>
    <w:basedOn w:val="15"/>
    <w:link w:val="4"/>
    <w:autoRedefine/>
    <w:qFormat/>
    <w:uiPriority w:val="0"/>
    <w:rPr>
      <w:rFonts w:ascii="Book Antiqua" w:hAnsi="Book Antiqua" w:eastAsia="黑体" w:cs="宋体"/>
      <w:sz w:val="28"/>
      <w:szCs w:val="28"/>
    </w:rPr>
  </w:style>
  <w:style w:type="character" w:customStyle="1" w:styleId="21">
    <w:name w:val="标题 5 Char"/>
    <w:basedOn w:val="15"/>
    <w:link w:val="5"/>
    <w:autoRedefine/>
    <w:qFormat/>
    <w:uiPriority w:val="0"/>
    <w:rPr>
      <w:rFonts w:ascii="Book Antiqua" w:hAnsi="Book Antiqua" w:eastAsia="黑体" w:cs="宋体"/>
      <w:sz w:val="24"/>
      <w:szCs w:val="24"/>
    </w:rPr>
  </w:style>
  <w:style w:type="paragraph" w:styleId="22">
    <w:name w:val="List Paragraph"/>
    <w:basedOn w:val="1"/>
    <w:link w:val="23"/>
    <w:autoRedefine/>
    <w:qFormat/>
    <w:uiPriority w:val="34"/>
    <w:pPr>
      <w:ind w:firstLine="420" w:firstLineChars="200"/>
    </w:pPr>
    <w:rPr>
      <w:rFonts w:asciiTheme="minorHAnsi" w:hAnsiTheme="minorHAnsi" w:eastAsiaTheme="minorEastAsia" w:cstheme="minorBidi"/>
      <w:szCs w:val="22"/>
    </w:rPr>
  </w:style>
  <w:style w:type="character" w:customStyle="1" w:styleId="23">
    <w:name w:val="列出段落 Char"/>
    <w:link w:val="22"/>
    <w:autoRedefine/>
    <w:qFormat/>
    <w:uiPriority w:val="34"/>
    <w:rPr>
      <w:rFonts w:asciiTheme="minorHAnsi" w:hAnsiTheme="minorHAnsi" w:eastAsiaTheme="minorEastAsia" w:cstheme="minorBidi"/>
      <w:kern w:val="2"/>
      <w:sz w:val="21"/>
      <w:szCs w:val="22"/>
    </w:rPr>
  </w:style>
  <w:style w:type="character" w:customStyle="1" w:styleId="24">
    <w:name w:val="Item Step in table Char Char"/>
    <w:link w:val="25"/>
    <w:autoRedefine/>
    <w:qFormat/>
    <w:uiPriority w:val="0"/>
    <w:rPr>
      <w:rFonts w:cs="Arial"/>
      <w:bCs/>
      <w:szCs w:val="28"/>
    </w:rPr>
  </w:style>
  <w:style w:type="paragraph" w:customStyle="1" w:styleId="25">
    <w:name w:val="Item Step in table"/>
    <w:basedOn w:val="5"/>
    <w:link w:val="24"/>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6">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7">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8">
    <w:name w:val="Table Text Char"/>
    <w:link w:val="29"/>
    <w:autoRedefine/>
    <w:qFormat/>
    <w:uiPriority w:val="0"/>
    <w:rPr>
      <w:rFonts w:cs="Arial"/>
      <w:szCs w:val="21"/>
    </w:rPr>
  </w:style>
  <w:style w:type="paragraph" w:customStyle="1" w:styleId="29">
    <w:name w:val="Table Text"/>
    <w:basedOn w:val="1"/>
    <w:link w:val="28"/>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30">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1">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2">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3">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4">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5">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6">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7">
    <w:name w:val="Notes Text Step"/>
    <w:basedOn w:val="31"/>
    <w:autoRedefine/>
    <w:qFormat/>
    <w:uiPriority w:val="0"/>
    <w:pPr>
      <w:numPr>
        <w:ilvl w:val="6"/>
      </w:numPr>
      <w:pBdr>
        <w:bottom w:val="none" w:color="auto" w:sz="0" w:space="0"/>
      </w:pBdr>
      <w:spacing w:before="40" w:line="200" w:lineRule="atLeast"/>
    </w:pPr>
    <w:rPr>
      <w:sz w:val="18"/>
      <w:szCs w:val="18"/>
    </w:rPr>
  </w:style>
  <w:style w:type="paragraph" w:customStyle="1" w:styleId="38">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39">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40">
    <w:name w:val="批注框文本 Char"/>
    <w:basedOn w:val="15"/>
    <w:link w:val="10"/>
    <w:autoRedefine/>
    <w:qFormat/>
    <w:uiPriority w:val="0"/>
    <w:rPr>
      <w:kern w:val="2"/>
      <w:sz w:val="18"/>
      <w:szCs w:val="18"/>
    </w:rPr>
  </w:style>
  <w:style w:type="paragraph" w:customStyle="1" w:styleId="41">
    <w:name w:val="样式 宋体 小四 行距: 1.5 倍行距 首行缩进:  2 字符"/>
    <w:basedOn w:val="1"/>
    <w:autoRedefine/>
    <w:qFormat/>
    <w:uiPriority w:val="99"/>
    <w:pPr>
      <w:spacing w:line="360" w:lineRule="auto"/>
      <w:ind w:firstLine="480" w:firstLineChars="200"/>
    </w:pPr>
    <w:rPr>
      <w:rFonts w:ascii="Times New Roman" w:hAnsi="Times New Roman" w:cs="宋体"/>
    </w:rPr>
  </w:style>
  <w:style w:type="character" w:customStyle="1" w:styleId="42">
    <w:name w:val="font21"/>
    <w:basedOn w:val="15"/>
    <w:autoRedefine/>
    <w:qFormat/>
    <w:uiPriority w:val="0"/>
    <w:rPr>
      <w:rFonts w:hint="eastAsia" w:ascii="宋体" w:hAnsi="宋体" w:eastAsia="宋体" w:cs="宋体"/>
      <w:color w:val="000000"/>
      <w:sz w:val="20"/>
      <w:szCs w:val="20"/>
      <w:u w:val="none"/>
    </w:rPr>
  </w:style>
  <w:style w:type="character" w:customStyle="1" w:styleId="43">
    <w:name w:val="font31"/>
    <w:basedOn w:val="15"/>
    <w:autoRedefine/>
    <w:qFormat/>
    <w:uiPriority w:val="0"/>
    <w:rPr>
      <w:rFonts w:hint="default" w:ascii="Times New Roman" w:hAnsi="Times New Roman" w:cs="Times New Roman"/>
      <w:color w:val="000000"/>
      <w:sz w:val="20"/>
      <w:szCs w:val="20"/>
      <w:u w:val="none"/>
    </w:rPr>
  </w:style>
  <w:style w:type="character" w:customStyle="1" w:styleId="44">
    <w:name w:val="font41"/>
    <w:basedOn w:val="15"/>
    <w:autoRedefine/>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452</Words>
  <Characters>569</Characters>
  <Lines>61</Lines>
  <Paragraphs>17</Paragraphs>
  <TotalTime>2</TotalTime>
  <ScaleCrop>false</ScaleCrop>
  <LinksUpToDate>false</LinksUpToDate>
  <CharactersWithSpaces>627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永远的yu</cp:lastModifiedBy>
  <cp:lastPrinted>2023-11-29T06:10:00Z</cp:lastPrinted>
  <dcterms:modified xsi:type="dcterms:W3CDTF">2024-03-20T07:07:46Z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B75484C30A0D48A998196F431A9A3E69</vt:lpwstr>
  </property>
</Properties>
</file>