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广州交投集团营运道路2023-2026年度机电养护综合管养项目-广州至河源高速公路（广州段）自助缴费机及车辆检测器采购意向征集公告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2400"/>
        <w:gridCol w:w="1459"/>
        <w:gridCol w:w="682"/>
        <w:gridCol w:w="682"/>
        <w:gridCol w:w="2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atLeast"/>
          <w:jc w:val="center"/>
        </w:trPr>
        <w:tc>
          <w:tcPr>
            <w:tcW w:w="14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508-40-1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自助缴费机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4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508-41-4</w:t>
            </w:r>
          </w:p>
        </w:tc>
        <w:tc>
          <w:tcPr>
            <w:tcW w:w="24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单通道车辆检测器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6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69199.00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独立式自助缴费机：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（1）标配上下双工位；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（2）总 CPC 卡容量：≥500 张，适应 CPC 卡尺寸 86×54mm,厚度 5±0.2mm；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（3）具备外部 ETC 卡刷卡功能；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（4）具备二维码识别区，扫码距离≥1.2 米，并且适当考虑为扫码窗口增加遮光板设计；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（5）支持下工位伸缩，伸缩范围≥15cm（可根据现场环境调节）；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（6）切换响应时间：&lt;2 秒，传动件寿命：不少于 100 万次，卡机构运转异常率：&lt; 0.003%；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（7）显示器：配备 LCD 高亮显示屏，阳光下可见；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（8）配备有按钮求助功能，搭配一套声光报警器；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 xml:space="preserve">（9）上下工位各配置一个 58mm 热敏纸打印机，具备上送纸尽警报信号；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bCs/>
          <w:snapToGrid w:val="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（10）配备机柜空调；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（11）机器应设立侧柜，侧柜顶部应配备摄像头，用于监控收费员在侧柜进行的收费操作（拍摄到收费键盘）。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车辆检测器应可以检测出入高速公路的各种车辆；可检测出距离相近的两辆车；各车道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的检测器不能互相干扰，金属物体在两车道之间的收费岛上移动时，不能影响检测器的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性能和精度；检测器应有人工复位按钮；频率：3级以上可调；灵敏度：4级以上可调；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计数误差：小于1×10-4；车速：≤60Km/h；使用寿命：&gt;5000000辆次；电源：24Vdc±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spacing w:val="0"/>
          <w:kern w:val="2"/>
          <w:sz w:val="21"/>
          <w:szCs w:val="21"/>
          <w:lang w:val="en-US" w:eastAsia="zh-CN" w:bidi="ar-SA"/>
        </w:rPr>
        <w:t>15%；150mA；工作温度：-40℃～+85℃；湿度：95%。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  <w:bookmarkStart w:id="3" w:name="_GoBack"/>
      <w:bookmarkEnd w:id="3"/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68107B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2024-03-20T07:29:04Z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