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广州新白云国际机场第二高速公路南段工程项目机电工程SG13标段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直流柜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采购意向征集公告</w:t>
      </w:r>
    </w:p>
    <w:p>
      <w:pPr>
        <w:spacing w:line="360" w:lineRule="auto"/>
        <w:jc w:val="center"/>
        <w:outlineLvl w:val="1"/>
        <w:rPr>
          <w:rFonts w:hint="default" w:ascii="Times New Roman" w:hAnsi="Times New Roman" w:cs="Times New Roman"/>
          <w:sz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cs="Times New Roman"/>
          <w:b/>
          <w:snapToGrid w:val="0"/>
          <w:kern w:val="0"/>
          <w:sz w:val="24"/>
        </w:rPr>
      </w:pPr>
      <w:r>
        <w:rPr>
          <w:rFonts w:hint="default" w:ascii="Times New Roman" w:hAnsi="Times New Roman" w:cs="Times New Roman"/>
          <w:b/>
          <w:snapToGrid w:val="0"/>
          <w:kern w:val="0"/>
          <w:sz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cs="Times New Roman"/>
          <w:bCs/>
          <w:snapToGrid w:val="0"/>
          <w:kern w:val="0"/>
          <w:sz w:val="24"/>
        </w:rPr>
      </w:pPr>
      <w:r>
        <w:rPr>
          <w:rFonts w:hint="default" w:ascii="Times New Roman" w:hAnsi="Times New Roman" w:cs="Times New Roman"/>
          <w:bCs/>
          <w:snapToGrid w:val="0"/>
          <w:kern w:val="0"/>
          <w:sz w:val="24"/>
        </w:rPr>
        <w:t>1.1项目名称：</w:t>
      </w:r>
      <w:r>
        <w:rPr>
          <w:rFonts w:hint="default" w:ascii="Times New Roman" w:hAnsi="Times New Roman" w:cs="Times New Roman"/>
          <w:bCs/>
          <w:snapToGrid w:val="0"/>
          <w:kern w:val="0"/>
          <w:sz w:val="24"/>
          <w:lang w:eastAsia="zh-CN"/>
        </w:rPr>
        <w:t>广州新白云国际机场第二高速公路南段工程项目机电工程SG13标段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Cs/>
          <w:snapToGrid w:val="0"/>
          <w:kern w:val="0"/>
          <w:sz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cs="Times New Roman"/>
          <w:b/>
        </w:rPr>
      </w:pPr>
      <w:r>
        <w:rPr>
          <w:rFonts w:hint="default" w:ascii="Times New Roman" w:hAnsi="Times New Roman" w:cs="Times New Roman"/>
          <w:b/>
          <w:snapToGrid w:val="0"/>
          <w:kern w:val="0"/>
          <w:sz w:val="24"/>
        </w:rPr>
        <w:t>具体工程量清单</w:t>
      </w:r>
    </w:p>
    <w:tbl>
      <w:tblPr>
        <w:tblStyle w:val="13"/>
        <w:tblW w:w="69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2"/>
        <w:gridCol w:w="1689"/>
        <w:gridCol w:w="1232"/>
        <w:gridCol w:w="641"/>
        <w:gridCol w:w="923"/>
        <w:gridCol w:w="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502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序号</w:t>
            </w:r>
          </w:p>
        </w:tc>
        <w:tc>
          <w:tcPr>
            <w:tcW w:w="1689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  <w:lang w:eastAsia="zh-CN"/>
              </w:rPr>
              <w:t>设备</w:t>
            </w:r>
            <w:r>
              <w:rPr>
                <w:rFonts w:hint="default" w:ascii="Times New Roman" w:hAnsi="Times New Roman" w:cs="Times New Roman"/>
                <w:szCs w:val="21"/>
              </w:rPr>
              <w:t>名称</w:t>
            </w:r>
          </w:p>
        </w:tc>
        <w:tc>
          <w:tcPr>
            <w:tcW w:w="1232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品牌/型号</w:t>
            </w:r>
          </w:p>
        </w:tc>
        <w:tc>
          <w:tcPr>
            <w:tcW w:w="641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单位</w:t>
            </w:r>
          </w:p>
        </w:tc>
        <w:tc>
          <w:tcPr>
            <w:tcW w:w="923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数量</w:t>
            </w:r>
          </w:p>
        </w:tc>
        <w:tc>
          <w:tcPr>
            <w:tcW w:w="989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502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807-3-3-4</w:t>
            </w:r>
          </w:p>
        </w:tc>
        <w:tc>
          <w:tcPr>
            <w:tcW w:w="1689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直流柜配电箱</w:t>
            </w:r>
          </w:p>
        </w:tc>
        <w:tc>
          <w:tcPr>
            <w:tcW w:w="1232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</w:p>
        </w:tc>
        <w:tc>
          <w:tcPr>
            <w:tcW w:w="641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台</w:t>
            </w:r>
          </w:p>
        </w:tc>
        <w:tc>
          <w:tcPr>
            <w:tcW w:w="923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7</w:t>
            </w:r>
          </w:p>
        </w:tc>
        <w:tc>
          <w:tcPr>
            <w:tcW w:w="9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502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807-3-4-1</w:t>
            </w:r>
          </w:p>
        </w:tc>
        <w:tc>
          <w:tcPr>
            <w:tcW w:w="1689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直流柜（20KVA）</w:t>
            </w:r>
          </w:p>
        </w:tc>
        <w:tc>
          <w:tcPr>
            <w:tcW w:w="1232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</w:p>
        </w:tc>
        <w:tc>
          <w:tcPr>
            <w:tcW w:w="641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台</w:t>
            </w:r>
          </w:p>
        </w:tc>
        <w:tc>
          <w:tcPr>
            <w:tcW w:w="923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6</w:t>
            </w:r>
          </w:p>
        </w:tc>
        <w:tc>
          <w:tcPr>
            <w:tcW w:w="9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502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新增</w:t>
            </w:r>
          </w:p>
        </w:tc>
        <w:tc>
          <w:tcPr>
            <w:tcW w:w="1689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直流柜(40KVA)</w:t>
            </w:r>
          </w:p>
        </w:tc>
        <w:tc>
          <w:tcPr>
            <w:tcW w:w="1232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</w:p>
        </w:tc>
        <w:tc>
          <w:tcPr>
            <w:tcW w:w="641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台</w:t>
            </w:r>
          </w:p>
        </w:tc>
        <w:tc>
          <w:tcPr>
            <w:tcW w:w="923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4</w:t>
            </w:r>
          </w:p>
        </w:tc>
        <w:tc>
          <w:tcPr>
            <w:tcW w:w="9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cs="Times New Roman"/>
          <w:bCs/>
          <w:snapToGrid w:val="0"/>
          <w:kern w:val="0"/>
          <w:sz w:val="24"/>
        </w:rPr>
      </w:pPr>
      <w:r>
        <w:rPr>
          <w:rFonts w:hint="default" w:ascii="Times New Roman" w:hAnsi="Times New Roman" w:cs="Times New Roman"/>
          <w:bCs/>
          <w:snapToGrid w:val="0"/>
          <w:kern w:val="0"/>
          <w:sz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Cs/>
          <w:snapToGrid w:val="0"/>
          <w:kern w:val="0"/>
          <w:sz w:val="24"/>
        </w:rPr>
        <w:t>包括运输、安装</w:t>
      </w:r>
      <w:r>
        <w:rPr>
          <w:rFonts w:hint="default" w:ascii="Times New Roman" w:hAnsi="Times New Roman" w:cs="Times New Roman"/>
          <w:bCs/>
          <w:snapToGrid w:val="0"/>
          <w:kern w:val="0"/>
          <w:sz w:val="24"/>
          <w:lang w:val="en-US" w:eastAsia="zh-CN"/>
        </w:rPr>
        <w:t>费</w:t>
      </w:r>
      <w:r>
        <w:rPr>
          <w:rFonts w:hint="default" w:ascii="Times New Roman" w:hAnsi="Times New Roman" w:cs="Times New Roman"/>
          <w:bCs/>
          <w:snapToGrid w:val="0"/>
          <w:kern w:val="0"/>
          <w:sz w:val="24"/>
          <w:lang w:val="en-US" w:eastAsia="zh-CN"/>
        </w:rPr>
        <w:t>、调试费、</w:t>
      </w:r>
      <w:r>
        <w:rPr>
          <w:rFonts w:hint="default" w:ascii="Times New Roman" w:hAnsi="Times New Roman" w:cs="Times New Roman"/>
          <w:bCs/>
          <w:snapToGrid w:val="0"/>
          <w:kern w:val="0"/>
          <w:sz w:val="24"/>
        </w:rPr>
        <w:t>保险费、税费、试运行及缺陷的维护等一切费用；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cs="Times New Roman"/>
          <w:bCs/>
          <w:snapToGrid w:val="0"/>
          <w:kern w:val="0"/>
          <w:sz w:val="24"/>
        </w:rPr>
      </w:pPr>
      <w:r>
        <w:rPr>
          <w:rFonts w:hint="default" w:ascii="Times New Roman" w:hAnsi="Times New Roman" w:cs="Times New Roman"/>
          <w:bCs/>
          <w:snapToGrid w:val="0"/>
          <w:kern w:val="0"/>
          <w:sz w:val="24"/>
        </w:rPr>
        <w:t>质保期：两年；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cs="Times New Roman"/>
          <w:bCs/>
          <w:snapToGrid w:val="0"/>
          <w:kern w:val="0"/>
          <w:sz w:val="24"/>
        </w:rPr>
      </w:pPr>
      <w:r>
        <w:rPr>
          <w:rFonts w:hint="default" w:ascii="Times New Roman" w:hAnsi="Times New Roman" w:cs="Times New Roman"/>
          <w:bCs/>
          <w:snapToGrid w:val="0"/>
          <w:kern w:val="0"/>
          <w:sz w:val="24"/>
        </w:rPr>
        <w:t>最高限价：</w:t>
      </w:r>
      <w:r>
        <w:rPr>
          <w:rFonts w:hint="default" w:ascii="Times New Roman" w:hAnsi="Times New Roman" w:cs="Times New Roman"/>
          <w:bCs/>
          <w:snapToGrid w:val="0"/>
          <w:kern w:val="0"/>
          <w:sz w:val="24"/>
          <w:lang w:val="en-US" w:eastAsia="zh-CN"/>
        </w:rPr>
        <w:t>991552.00</w:t>
      </w:r>
      <w:r>
        <w:rPr>
          <w:rFonts w:hint="default" w:ascii="Times New Roman" w:hAnsi="Times New Roman" w:cs="Times New Roman"/>
          <w:bCs/>
          <w:snapToGrid w:val="0"/>
          <w:kern w:val="0"/>
          <w:sz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cs="Times New Roman"/>
          <w:b/>
          <w:snapToGrid w:val="0"/>
          <w:kern w:val="0"/>
          <w:sz w:val="24"/>
        </w:rPr>
      </w:pPr>
      <w:r>
        <w:rPr>
          <w:rFonts w:hint="default" w:ascii="Times New Roman" w:hAnsi="Times New Roman" w:cs="Times New Roman"/>
          <w:b/>
          <w:snapToGrid w:val="0"/>
          <w:kern w:val="0"/>
          <w:sz w:val="24"/>
        </w:rPr>
        <w:t>技术要求</w:t>
      </w:r>
    </w:p>
    <w:p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eastAsia="宋体" w:cs="Times New Roman"/>
          <w:b/>
          <w:bCs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1"/>
          <w:szCs w:val="21"/>
          <w:lang w:val="en-US" w:eastAsia="zh-CN" w:bidi="ar"/>
        </w:rPr>
        <w:t>直流柜参数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240" w:lineRule="auto"/>
        <w:ind w:leftChars="0" w:firstLine="420" w:firstLineChars="0"/>
        <w:jc w:val="left"/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直流柜系统包括直流照明控制器、通信模块、整流模块、直流调光模块、绝缘监测模块、防雷模块、控制模块等。在系统内部完成 AC 380V 整流为 DC750V（ 输出在 DC200V~DC1000V 可调）, 供电及控制一体化设计实现对外场设备的供电和控制。系统基本功能有：智能开关、智能调光、数据采集、绝缘监察、过流 / 过压保护、短路保护、故障检测报警、防雷等。每个直流供电单元具有彩色触摸控制屏，实现回路分、断、调光等就地控制功能。</w:t>
      </w:r>
    </w:p>
    <w:p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功能要求 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line="240" w:lineRule="auto"/>
        <w:ind w:left="420" w:leftChars="0" w:hanging="420" w:firstLineChars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整流模块采用 N+1 模块化并机冗余运行，无切换时延 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line="240" w:lineRule="auto"/>
        <w:ind w:left="420" w:leftChars="0" w:hanging="420" w:firstLineChars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支持交流输入过、欠电压保护功能 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line="240" w:lineRule="auto"/>
        <w:ind w:left="420" w:leftChars="0" w:hanging="420" w:firstLineChars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支持三相交流输入缺相保护功能 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line="240" w:lineRule="auto"/>
        <w:ind w:left="420" w:leftChars="0" w:hanging="420" w:firstLineChars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支持输出过压、欠压保护 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line="240" w:lineRule="auto"/>
        <w:ind w:left="420" w:leftChars="0" w:hanging="420" w:firstLineChars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支持输出电流及输出功率限制功能 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line="240" w:lineRule="auto"/>
        <w:ind w:left="420" w:leftChars="0" w:hanging="420" w:firstLineChars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支持人体搭接保护、漏电及开路保护、雷击浪涌保护 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line="240" w:lineRule="auto"/>
        <w:ind w:left="420" w:leftChars="0" w:hanging="420" w:firstLineChars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实时监测交流输入电压、交流输入电流 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line="240" w:lineRule="auto"/>
        <w:ind w:left="420" w:leftChars="0" w:hanging="420" w:firstLineChars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实时监测工作状态（开/关机，限流/不限流），故障/正常，温度状态 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line="240" w:lineRule="auto"/>
        <w:ind w:left="420" w:leftChars="0" w:hanging="420" w:firstLineChars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实时监测输出电压，总负载电流，各回路电流值 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line="240" w:lineRule="auto"/>
        <w:ind w:left="420" w:leftChars="0" w:hanging="420" w:firstLineChars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实时监测并显示直流系统母线电压、正负母线对地绝缘电阻 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line="240" w:lineRule="auto"/>
        <w:ind w:left="420" w:leftChars="0" w:hanging="420" w:firstLineChars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可远程对整流模块进行开/关机操作 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line="240" w:lineRule="auto"/>
        <w:ind w:left="420" w:leftChars="0" w:hanging="420" w:firstLineChars="0"/>
        <w:jc w:val="left"/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可远程对各输出回路进行开/关操作 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line="240" w:lineRule="auto"/>
        <w:ind w:left="420" w:leftChars="0" w:hanging="420" w:firstLineChars="0"/>
        <w:jc w:val="left"/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各输出回路配置高压直流回路控制器集成高压继电器，可实现回路正负极同时切断；内置智能处理器，实现回路工作电压、电流、温度进行实时检测；内置预充电功能，可减低容性负载启动时的电流冲击；模块化设计，简化直流配电柜的电气设计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line="240" w:lineRule="auto"/>
        <w:ind w:left="420" w:leftChars="0" w:hanging="420" w:firstLineChars="0"/>
        <w:jc w:val="left"/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柜内配电及控制模块应分开设置，具备分别更换的条件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line="240" w:lineRule="auto"/>
        <w:ind w:left="420" w:leftChars="0" w:hanging="420" w:firstLineChars="0"/>
        <w:jc w:val="left"/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直流柜应具备时间控制功能，时控功能可设置整柜统一设置或各回路单独设置。控制逻辑根据管理部门要求，进行全线统一设定 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line="240" w:lineRule="auto"/>
        <w:ind w:left="420" w:leftChars="0" w:hanging="420" w:firstLineChars="0"/>
        <w:jc w:val="left"/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整流模块柜内应具备温度调节设备，满足整流设备的正常工作需求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line="240" w:lineRule="auto"/>
        <w:ind w:left="420" w:leftChars="0" w:hanging="420" w:firstLineChars="0"/>
        <w:jc w:val="left"/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通信接口： RS485、RS232通信接口，可按用户设定的后台通讯规约（可选择MODBUS、CDT）上报给综合自动化系统，并接收综合自动化系统下发的控制命令，实现遥控、遥测、遥信功能</w:t>
      </w:r>
    </w:p>
    <w:p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技术要求 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line="240" w:lineRule="auto"/>
        <w:ind w:left="420" w:leftChars="0" w:hanging="420" w:firstLineChars="0"/>
        <w:jc w:val="left"/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输入电压：AC380V±15% 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line="240" w:lineRule="auto"/>
        <w:ind w:left="420" w:leftChars="0" w:hanging="420" w:firstLineChars="0"/>
        <w:jc w:val="left"/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频率：45-65Hz 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line="240" w:lineRule="auto"/>
        <w:ind w:left="420" w:leftChars="0" w:hanging="420" w:firstLineChars="0"/>
        <w:jc w:val="left"/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输出电压：DC200~1000V 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line="240" w:lineRule="auto"/>
        <w:ind w:left="420" w:leftChars="0" w:hanging="420" w:firstLineChars="0"/>
        <w:jc w:val="left"/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输出功率：按图纸需求配置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line="240" w:lineRule="auto"/>
        <w:ind w:left="420" w:leftChars="0" w:hanging="420" w:firstLineChars="0"/>
        <w:jc w:val="left"/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输出纹波噪声：≤0.5%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line="240" w:lineRule="auto"/>
        <w:ind w:left="420" w:leftChars="0" w:hanging="420" w:firstLineChars="0"/>
        <w:jc w:val="left"/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转换效率：≥95% 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line="240" w:lineRule="auto"/>
        <w:ind w:left="420" w:leftChars="0" w:hanging="420" w:firstLineChars="0"/>
        <w:jc w:val="left"/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输入功率因数：≥0.95 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line="240" w:lineRule="auto"/>
        <w:ind w:left="420" w:leftChars="0" w:hanging="420" w:firstLineChars="0"/>
        <w:jc w:val="left"/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输入电流总谐波失真度：≤15% 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line="240" w:lineRule="auto"/>
        <w:ind w:left="420" w:leftChars="0" w:hanging="420" w:firstLineChars="0"/>
        <w:jc w:val="left"/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稳压精度：≤±0.6% 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line="240" w:lineRule="auto"/>
        <w:ind w:left="420" w:leftChars="0" w:hanging="420" w:firstLineChars="0"/>
        <w:jc w:val="left"/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峰-峰值杂音电压：不大于输出电压标称值的 0.5% 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line="240" w:lineRule="auto"/>
        <w:ind w:left="420" w:leftChars="0" w:hanging="420" w:firstLineChars="0"/>
        <w:jc w:val="left"/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输出回路：满足现场输出要求，并预留不少于 2 个备用回路 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line="240" w:lineRule="auto"/>
        <w:ind w:left="420" w:leftChars="0" w:hanging="420" w:firstLineChars="0"/>
        <w:jc w:val="left"/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安全保护：人体搭接保护、漏电及开路保护、雷击浪涌保护 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line="240" w:lineRule="auto"/>
        <w:ind w:left="420" w:leftChars="0" w:hanging="420" w:firstLineChars="0"/>
        <w:jc w:val="left"/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工作温度：-20℃～+50℃ 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line="240" w:lineRule="auto"/>
        <w:ind w:left="420" w:leftChars="0" w:hanging="420" w:firstLineChars="0"/>
        <w:jc w:val="left"/>
        <w:rPr>
          <w:rFonts w:hint="default" w:ascii="Times New Roman" w:hAnsi="Times New Roman" w:eastAsia="宋体" w:cs="Times New Roman"/>
          <w:b/>
          <w:bCs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工作湿度：5～95% </w:t>
      </w:r>
    </w:p>
    <w:p>
      <w:pPr>
        <w:spacing w:line="240" w:lineRule="auto"/>
        <w:ind w:left="440" w:hanging="440"/>
        <w:jc w:val="both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高压直流双电源切换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柜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>（直流柜配电箱）</w:t>
      </w:r>
    </w:p>
    <w:p>
      <w:pPr>
        <w:spacing w:line="240" w:lineRule="auto"/>
        <w:ind w:firstLine="420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该设备</w:t>
      </w:r>
      <w:r>
        <w:rPr>
          <w:rFonts w:hint="default" w:ascii="Times New Roman" w:hAnsi="Times New Roman" w:cs="Times New Roman"/>
          <w:sz w:val="21"/>
          <w:szCs w:val="21"/>
        </w:rPr>
        <w:t>是针对高压直流供电系统应用而开发的高压直流双电源切换柜，主要由</w:t>
      </w:r>
      <w:r>
        <w:rPr>
          <w:rFonts w:hint="default" w:ascii="Times New Roman" w:hAnsi="Times New Roman" w:cs="Times New Roman"/>
          <w:sz w:val="21"/>
          <w:szCs w:val="21"/>
        </w:rPr>
        <w:fldChar w:fldCharType="begin"/>
      </w:r>
      <w:r>
        <w:rPr>
          <w:rFonts w:hint="default" w:ascii="Times New Roman" w:hAnsi="Times New Roman" w:cs="Times New Roman"/>
          <w:sz w:val="21"/>
          <w:szCs w:val="21"/>
        </w:rPr>
        <w:instrText xml:space="preserve"> HYPERLINK "https://baike.baidu.com/item/%E5%8F%8C%E7%94%B5%E6%BA%90%E8%87%AA%E5%8A%A8%E5%88%87%E6%8D%A2%E8%A3%85%E7%BD%AE/18883816" \t "_blank" </w:instrText>
      </w:r>
      <w:r>
        <w:rPr>
          <w:rFonts w:hint="default" w:ascii="Times New Roman" w:hAnsi="Times New Roman" w:cs="Times New Roman"/>
          <w:sz w:val="21"/>
          <w:szCs w:val="21"/>
        </w:rPr>
        <w:fldChar w:fldCharType="separate"/>
      </w:r>
      <w:r>
        <w:rPr>
          <w:rFonts w:hint="default" w:ascii="Times New Roman" w:hAnsi="Times New Roman" w:cs="Times New Roman"/>
          <w:sz w:val="21"/>
          <w:szCs w:val="21"/>
        </w:rPr>
        <w:t>双电源自动切换模块</w:t>
      </w:r>
      <w:r>
        <w:rPr>
          <w:rFonts w:hint="default" w:ascii="Times New Roman" w:hAnsi="Times New Roman" w:cs="Times New Roman"/>
          <w:sz w:val="21"/>
          <w:szCs w:val="21"/>
        </w:rPr>
        <w:fldChar w:fldCharType="end"/>
      </w:r>
      <w:r>
        <w:rPr>
          <w:rFonts w:hint="default" w:ascii="Times New Roman" w:hAnsi="Times New Roman" w:cs="Times New Roman"/>
          <w:sz w:val="21"/>
          <w:szCs w:val="21"/>
        </w:rPr>
        <w:t>、</w:t>
      </w:r>
      <w:r>
        <w:rPr>
          <w:rFonts w:hint="default" w:ascii="Times New Roman" w:hAnsi="Times New Roman" w:cs="Times New Roman"/>
          <w:sz w:val="21"/>
          <w:szCs w:val="21"/>
        </w:rPr>
        <w:t>配电及柜体等组成，可根据需要在主电源高压直流回路与</w:t>
      </w:r>
      <w:r>
        <w:rPr>
          <w:rFonts w:hint="default" w:ascii="Times New Roman" w:hAnsi="Times New Roman" w:cs="Times New Roman"/>
          <w:sz w:val="21"/>
          <w:szCs w:val="21"/>
        </w:rPr>
        <w:fldChar w:fldCharType="begin"/>
      </w:r>
      <w:r>
        <w:rPr>
          <w:rFonts w:hint="default" w:ascii="Times New Roman" w:hAnsi="Times New Roman" w:cs="Times New Roman"/>
          <w:sz w:val="21"/>
          <w:szCs w:val="21"/>
        </w:rPr>
        <w:instrText xml:space="preserve"> HYPERLINK "https://baike.baidu.com/item/%E5%A4%87%E7%94%A8%E7%94%B5%E6%BA%90/10770536" \t "_blank" </w:instrText>
      </w:r>
      <w:r>
        <w:rPr>
          <w:rFonts w:hint="default" w:ascii="Times New Roman" w:hAnsi="Times New Roman" w:cs="Times New Roman"/>
          <w:sz w:val="21"/>
          <w:szCs w:val="21"/>
        </w:rPr>
        <w:fldChar w:fldCharType="separate"/>
      </w:r>
      <w:r>
        <w:rPr>
          <w:rStyle w:val="15"/>
          <w:rFonts w:hint="default" w:ascii="Times New Roman" w:hAnsi="Times New Roman" w:cs="Times New Roman"/>
          <w:color w:val="auto"/>
          <w:sz w:val="21"/>
          <w:szCs w:val="21"/>
          <w:u w:val="none"/>
        </w:rPr>
        <w:t>备用电源</w:t>
      </w:r>
      <w:r>
        <w:rPr>
          <w:rStyle w:val="15"/>
          <w:rFonts w:hint="default" w:ascii="Times New Roman" w:hAnsi="Times New Roman" w:cs="Times New Roman"/>
          <w:color w:val="auto"/>
          <w:sz w:val="21"/>
          <w:szCs w:val="21"/>
          <w:u w:val="none"/>
        </w:rPr>
        <w:fldChar w:fldCharType="end"/>
      </w:r>
      <w:r>
        <w:rPr>
          <w:rFonts w:hint="default" w:ascii="Times New Roman" w:hAnsi="Times New Roman" w:cs="Times New Roman"/>
          <w:sz w:val="21"/>
          <w:szCs w:val="21"/>
        </w:rPr>
        <w:t>高压直流回路之间自动切换，保证供电的可靠性和连续性。</w:t>
      </w:r>
    </w:p>
    <w:p>
      <w:pPr>
        <w:spacing w:line="240" w:lineRule="auto"/>
        <w:ind w:firstLine="420"/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产品特点：</w:t>
      </w:r>
    </w:p>
    <w:p>
      <w:pPr>
        <w:pStyle w:val="22"/>
        <w:numPr>
          <w:ilvl w:val="0"/>
          <w:numId w:val="6"/>
        </w:numPr>
        <w:spacing w:line="240" w:lineRule="auto"/>
        <w:ind w:firstLineChars="0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核心器件</w:t>
      </w:r>
      <w:r>
        <w:rPr>
          <w:rFonts w:hint="default" w:ascii="Times New Roman" w:hAnsi="Times New Roman" w:cs="Times New Roman"/>
          <w:sz w:val="21"/>
          <w:szCs w:val="21"/>
        </w:rPr>
        <w:fldChar w:fldCharType="begin"/>
      </w:r>
      <w:r>
        <w:rPr>
          <w:rFonts w:hint="default" w:ascii="Times New Roman" w:hAnsi="Times New Roman" w:cs="Times New Roman"/>
          <w:sz w:val="21"/>
          <w:szCs w:val="21"/>
        </w:rPr>
        <w:instrText xml:space="preserve"> HYPERLINK "https://baike.baidu.com/item/%E5%8F%8C%E7%94%B5%E6%BA%90%E8%87%AA%E5%8A%A8%E5%88%87%E6%8D%A2%E8%A3%85%E7%BD%AE/18883816" \t "_blank" </w:instrText>
      </w:r>
      <w:r>
        <w:rPr>
          <w:rFonts w:hint="default" w:ascii="Times New Roman" w:hAnsi="Times New Roman" w:cs="Times New Roman"/>
          <w:sz w:val="21"/>
          <w:szCs w:val="21"/>
        </w:rPr>
        <w:fldChar w:fldCharType="separate"/>
      </w:r>
      <w:r>
        <w:rPr>
          <w:rStyle w:val="15"/>
          <w:rFonts w:hint="default" w:ascii="Times New Roman" w:hAnsi="Times New Roman" w:cs="Times New Roman"/>
          <w:color w:val="auto"/>
          <w:sz w:val="21"/>
          <w:szCs w:val="21"/>
          <w:u w:val="none"/>
        </w:rPr>
        <w:t>双电源自动切换模块</w:t>
      </w:r>
      <w:r>
        <w:rPr>
          <w:rStyle w:val="15"/>
          <w:rFonts w:hint="default" w:ascii="Times New Roman" w:hAnsi="Times New Roman" w:cs="Times New Roman"/>
          <w:color w:val="auto"/>
          <w:sz w:val="21"/>
          <w:szCs w:val="21"/>
          <w:u w:val="none"/>
        </w:rPr>
        <w:fldChar w:fldCharType="end"/>
      </w:r>
      <w:r>
        <w:rPr>
          <w:rFonts w:hint="default" w:ascii="Times New Roman" w:hAnsi="Times New Roman" w:cs="Times New Roman"/>
          <w:sz w:val="21"/>
          <w:szCs w:val="21"/>
        </w:rPr>
        <w:t>基于全控</w:t>
      </w:r>
      <w:r>
        <w:rPr>
          <w:rFonts w:hint="default" w:ascii="Times New Roman" w:hAnsi="Times New Roman" w:cs="Times New Roman"/>
          <w:sz w:val="21"/>
          <w:szCs w:val="21"/>
        </w:rPr>
        <w:t>型电力电子器件绝缘栅双极型晶体(</w:t>
      </w:r>
      <w:r>
        <w:rPr>
          <w:rFonts w:hint="default" w:ascii="Times New Roman" w:hAnsi="Times New Roman" w:cs="Times New Roman"/>
          <w:sz w:val="21"/>
          <w:szCs w:val="21"/>
        </w:rPr>
        <w:t>IGBT)的双电源快速切换开关，辅以机械开关</w:t>
      </w:r>
      <w:r>
        <w:rPr>
          <w:rFonts w:hint="default" w:ascii="Times New Roman" w:hAnsi="Times New Roman" w:cs="Times New Roman"/>
          <w:sz w:val="21"/>
          <w:szCs w:val="21"/>
        </w:rPr>
        <w:t>及</w:t>
      </w:r>
      <w:r>
        <w:rPr>
          <w:rFonts w:hint="default" w:ascii="Times New Roman" w:hAnsi="Times New Roman" w:cs="Times New Roman"/>
          <w:sz w:val="21"/>
          <w:szCs w:val="21"/>
        </w:rPr>
        <w:t>精确控制</w:t>
      </w:r>
      <w:r>
        <w:rPr>
          <w:rFonts w:hint="default" w:ascii="Times New Roman" w:hAnsi="Times New Roman" w:cs="Times New Roman"/>
          <w:sz w:val="21"/>
          <w:szCs w:val="21"/>
        </w:rPr>
        <w:t>，实现高压直流双电源自动切换功能；</w:t>
      </w:r>
    </w:p>
    <w:p>
      <w:pPr>
        <w:pStyle w:val="22"/>
        <w:numPr>
          <w:ilvl w:val="0"/>
          <w:numId w:val="6"/>
        </w:numPr>
        <w:spacing w:line="240" w:lineRule="auto"/>
        <w:ind w:firstLineChars="0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工业级I</w:t>
      </w:r>
      <w:r>
        <w:rPr>
          <w:rFonts w:hint="default" w:ascii="Times New Roman" w:hAnsi="Times New Roman" w:cs="Times New Roman"/>
          <w:sz w:val="21"/>
          <w:szCs w:val="21"/>
        </w:rPr>
        <w:t>GBT</w:t>
      </w:r>
      <w:r>
        <w:rPr>
          <w:rFonts w:hint="default" w:ascii="Times New Roman" w:hAnsi="Times New Roman" w:cs="Times New Roman"/>
          <w:sz w:val="21"/>
          <w:szCs w:val="21"/>
        </w:rPr>
        <w:t>模块，确保主回路切换寿命</w:t>
      </w:r>
      <w:r>
        <w:rPr>
          <w:rFonts w:hint="default" w:ascii="Times New Roman" w:hAnsi="Times New Roman" w:cs="Times New Roman"/>
          <w:sz w:val="21"/>
          <w:szCs w:val="21"/>
        </w:rPr>
        <w:t>，</w:t>
      </w:r>
      <w:r>
        <w:rPr>
          <w:rFonts w:hint="default" w:ascii="Times New Roman" w:hAnsi="Times New Roman" w:cs="Times New Roman"/>
          <w:sz w:val="21"/>
          <w:szCs w:val="21"/>
        </w:rPr>
        <w:t>切换瞬间互为备用瞬时旁路供电高精度过欠压逻辑控制电路，双路电气隔离，切换稳定可靠；</w:t>
      </w:r>
    </w:p>
    <w:p>
      <w:pPr>
        <w:pStyle w:val="22"/>
        <w:numPr>
          <w:ilvl w:val="0"/>
          <w:numId w:val="6"/>
        </w:numPr>
        <w:spacing w:line="240" w:lineRule="auto"/>
        <w:ind w:firstLineChars="0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具有快速性、暂态稳定性优点，实际切换时间≤1</w:t>
      </w:r>
      <w:r>
        <w:rPr>
          <w:rFonts w:hint="default" w:ascii="Times New Roman" w:hAnsi="Times New Roman" w:cs="Times New Roman"/>
          <w:sz w:val="21"/>
          <w:szCs w:val="21"/>
        </w:rPr>
        <w:t>0</w:t>
      </w:r>
      <w:r>
        <w:rPr>
          <w:rFonts w:hint="default" w:ascii="Times New Roman" w:hAnsi="Times New Roman" w:cs="Times New Roman"/>
          <w:sz w:val="21"/>
          <w:szCs w:val="21"/>
        </w:rPr>
        <w:t>毫秒，能够满足敏感和关键负载对供电可靠性、连续性的苛刻要求；</w:t>
      </w:r>
    </w:p>
    <w:p>
      <w:pPr>
        <w:pStyle w:val="22"/>
        <w:numPr>
          <w:ilvl w:val="0"/>
          <w:numId w:val="6"/>
        </w:numPr>
        <w:spacing w:line="240" w:lineRule="auto"/>
        <w:ind w:firstLineChars="0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fldChar w:fldCharType="begin"/>
      </w:r>
      <w:r>
        <w:rPr>
          <w:rFonts w:hint="default" w:ascii="Times New Roman" w:hAnsi="Times New Roman" w:cs="Times New Roman"/>
          <w:sz w:val="21"/>
          <w:szCs w:val="21"/>
        </w:rPr>
        <w:instrText xml:space="preserve"> HYPERLINK "https://baike.baidu.com/item/%E5%8F%8C%E7%94%B5%E6%BA%90%E8%87%AA%E5%8A%A8%E5%88%87%E6%8D%A2%E8%A3%85%E7%BD%AE/18883816" \t "_blank" </w:instrText>
      </w:r>
      <w:r>
        <w:rPr>
          <w:rFonts w:hint="default" w:ascii="Times New Roman" w:hAnsi="Times New Roman" w:cs="Times New Roman"/>
          <w:sz w:val="21"/>
          <w:szCs w:val="21"/>
        </w:rPr>
        <w:fldChar w:fldCharType="separate"/>
      </w:r>
      <w:r>
        <w:rPr>
          <w:rFonts w:hint="default" w:ascii="Times New Roman" w:hAnsi="Times New Roman" w:cs="Times New Roman"/>
          <w:sz w:val="21"/>
          <w:szCs w:val="21"/>
        </w:rPr>
        <w:t>双电源自动切换模块</w:t>
      </w:r>
      <w:r>
        <w:rPr>
          <w:rFonts w:hint="default" w:ascii="Times New Roman" w:hAnsi="Times New Roman" w:cs="Times New Roman"/>
          <w:sz w:val="21"/>
          <w:szCs w:val="21"/>
        </w:rPr>
        <w:fldChar w:fldCharType="end"/>
      </w:r>
      <w:r>
        <w:rPr>
          <w:rFonts w:hint="default" w:ascii="Times New Roman" w:hAnsi="Times New Roman" w:cs="Times New Roman"/>
          <w:sz w:val="21"/>
          <w:szCs w:val="21"/>
        </w:rPr>
        <w:t>面板指示灯显示工作状态</w:t>
      </w:r>
      <w:r>
        <w:rPr>
          <w:rFonts w:hint="default" w:ascii="Times New Roman" w:hAnsi="Times New Roman" w:cs="Times New Roman"/>
          <w:sz w:val="21"/>
          <w:szCs w:val="21"/>
        </w:rPr>
        <w:t>（开/关机，主/旁路工作状态）</w:t>
      </w:r>
      <w:r>
        <w:rPr>
          <w:rFonts w:hint="default" w:ascii="Times New Roman" w:hAnsi="Times New Roman" w:cs="Times New Roman"/>
          <w:sz w:val="21"/>
          <w:szCs w:val="21"/>
        </w:rPr>
        <w:t xml:space="preserve">，安装方式灵活，提供无源监视信号； </w:t>
      </w:r>
    </w:p>
    <w:p>
      <w:pPr>
        <w:pStyle w:val="22"/>
        <w:numPr>
          <w:ilvl w:val="0"/>
          <w:numId w:val="6"/>
        </w:numPr>
        <w:spacing w:line="240" w:lineRule="auto"/>
        <w:ind w:firstLineChars="0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输入/输出采用直流正负极均不接地“浮地”供电方式，极大降低触电风险；</w:t>
      </w:r>
    </w:p>
    <w:p>
      <w:pPr>
        <w:pStyle w:val="22"/>
        <w:numPr>
          <w:ilvl w:val="0"/>
          <w:numId w:val="6"/>
        </w:numPr>
        <w:spacing w:line="240" w:lineRule="auto"/>
        <w:ind w:firstLineChars="0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支持过欠压、过流保护功能；</w:t>
      </w:r>
    </w:p>
    <w:p>
      <w:pPr>
        <w:pStyle w:val="22"/>
        <w:numPr>
          <w:ilvl w:val="0"/>
          <w:numId w:val="6"/>
        </w:numPr>
        <w:spacing w:line="240" w:lineRule="auto"/>
        <w:ind w:firstLineChars="0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电磁兼容</w:t>
      </w:r>
      <w:r>
        <w:rPr>
          <w:rFonts w:hint="default" w:ascii="Times New Roman" w:hAnsi="Times New Roman" w:cs="Times New Roman"/>
          <w:sz w:val="21"/>
          <w:szCs w:val="21"/>
        </w:rPr>
        <w:t>符合GB/T17626-4.GB/T17626-5四级标准；</w:t>
      </w:r>
    </w:p>
    <w:p>
      <w:pPr>
        <w:pStyle w:val="22"/>
        <w:numPr>
          <w:ilvl w:val="0"/>
          <w:numId w:val="6"/>
        </w:numPr>
        <w:spacing w:line="240" w:lineRule="auto"/>
        <w:ind w:firstLineChars="0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直流防反接设计，输入接反装置不工作；</w:t>
      </w:r>
    </w:p>
    <w:p>
      <w:pPr>
        <w:pStyle w:val="22"/>
        <w:numPr>
          <w:ilvl w:val="0"/>
          <w:numId w:val="6"/>
        </w:numPr>
        <w:spacing w:line="240" w:lineRule="auto"/>
        <w:ind w:firstLineChars="0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宽电压工作范围：电压输入范围DC</w:t>
      </w:r>
      <w:r>
        <w:rPr>
          <w:rFonts w:hint="default" w:ascii="Times New Roman" w:hAnsi="Times New Roman" w:cs="Times New Roman"/>
          <w:sz w:val="21"/>
          <w:szCs w:val="21"/>
        </w:rPr>
        <w:t>50</w:t>
      </w:r>
      <w:r>
        <w:rPr>
          <w:rFonts w:hint="default" w:ascii="Times New Roman" w:hAnsi="Times New Roman" w:cs="Times New Roman"/>
          <w:sz w:val="21"/>
          <w:szCs w:val="21"/>
        </w:rPr>
        <w:t>0V</w:t>
      </w:r>
      <w:r>
        <w:rPr>
          <w:rFonts w:hint="default" w:ascii="Times New Roman" w:hAnsi="Times New Roman" w:cs="Times New Roman"/>
          <w:sz w:val="21"/>
          <w:szCs w:val="21"/>
        </w:rPr>
        <w:t>~820V</w:t>
      </w:r>
      <w:r>
        <w:rPr>
          <w:rFonts w:hint="default" w:ascii="Times New Roman" w:hAnsi="Times New Roman" w:cs="Times New Roman"/>
          <w:sz w:val="21"/>
          <w:szCs w:val="21"/>
        </w:rPr>
        <w:t>；</w:t>
      </w:r>
    </w:p>
    <w:p>
      <w:pPr>
        <w:pStyle w:val="22"/>
        <w:numPr>
          <w:ilvl w:val="0"/>
          <w:numId w:val="6"/>
        </w:numPr>
        <w:spacing w:line="240" w:lineRule="auto"/>
        <w:ind w:firstLineChars="0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选配功能：485通讯。</w:t>
      </w:r>
    </w:p>
    <w:p>
      <w:pPr>
        <w:spacing w:line="240" w:lineRule="auto"/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技术参数：</w:t>
      </w:r>
    </w:p>
    <w:p>
      <w:pPr>
        <w:pStyle w:val="22"/>
        <w:numPr>
          <w:ilvl w:val="0"/>
          <w:numId w:val="6"/>
        </w:numPr>
        <w:spacing w:line="240" w:lineRule="auto"/>
        <w:ind w:firstLineChars="0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输入电压：</w:t>
      </w:r>
      <w:r>
        <w:rPr>
          <w:rFonts w:hint="default" w:ascii="Times New Roman" w:hAnsi="Times New Roman" w:cs="Times New Roman"/>
          <w:sz w:val="21"/>
          <w:szCs w:val="21"/>
        </w:rPr>
        <w:t>DC500V-DC820V</w:t>
      </w:r>
      <w:r>
        <w:rPr>
          <w:rFonts w:hint="default" w:ascii="Times New Roman" w:hAnsi="Times New Roman" w:cs="Times New Roman"/>
          <w:sz w:val="21"/>
          <w:szCs w:val="21"/>
        </w:rPr>
        <w:t>宽压输入范围</w:t>
      </w:r>
    </w:p>
    <w:p>
      <w:pPr>
        <w:pStyle w:val="22"/>
        <w:numPr>
          <w:ilvl w:val="0"/>
          <w:numId w:val="6"/>
        </w:numPr>
        <w:spacing w:line="240" w:lineRule="auto"/>
        <w:ind w:firstLineChars="0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输出功率：单模块不小于2</w:t>
      </w:r>
      <w:r>
        <w:rPr>
          <w:rFonts w:hint="default" w:ascii="Times New Roman" w:hAnsi="Times New Roman" w:cs="Times New Roman"/>
          <w:sz w:val="21"/>
          <w:szCs w:val="21"/>
        </w:rPr>
        <w:t>0KVA</w:t>
      </w:r>
    </w:p>
    <w:p>
      <w:pPr>
        <w:pStyle w:val="22"/>
        <w:numPr>
          <w:ilvl w:val="0"/>
          <w:numId w:val="6"/>
        </w:numPr>
        <w:spacing w:line="240" w:lineRule="auto"/>
        <w:ind w:firstLineChars="0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输出纹波噪声：≤0.5%V</w:t>
      </w:r>
    </w:p>
    <w:p>
      <w:pPr>
        <w:pStyle w:val="22"/>
        <w:numPr>
          <w:ilvl w:val="0"/>
          <w:numId w:val="6"/>
        </w:numPr>
        <w:spacing w:line="240" w:lineRule="auto"/>
        <w:ind w:firstLineChars="0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双电源切换时间：≤1</w:t>
      </w:r>
      <w:r>
        <w:rPr>
          <w:rFonts w:hint="default" w:ascii="Times New Roman" w:hAnsi="Times New Roman" w:cs="Times New Roman"/>
          <w:sz w:val="21"/>
          <w:szCs w:val="21"/>
        </w:rPr>
        <w:t>0ms</w:t>
      </w:r>
    </w:p>
    <w:p>
      <w:pPr>
        <w:pStyle w:val="22"/>
        <w:numPr>
          <w:ilvl w:val="0"/>
          <w:numId w:val="6"/>
        </w:numPr>
        <w:spacing w:line="240" w:lineRule="auto"/>
        <w:ind w:firstLineChars="0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输出回路：满足现场输出要求</w:t>
      </w:r>
    </w:p>
    <w:p>
      <w:pPr>
        <w:pStyle w:val="22"/>
        <w:numPr>
          <w:ilvl w:val="0"/>
          <w:numId w:val="6"/>
        </w:numPr>
        <w:spacing w:line="240" w:lineRule="auto"/>
        <w:ind w:firstLineChars="0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工作温度：-10℃～+65℃</w:t>
      </w:r>
    </w:p>
    <w:p>
      <w:pPr>
        <w:pStyle w:val="22"/>
        <w:numPr>
          <w:ilvl w:val="0"/>
          <w:numId w:val="6"/>
        </w:numPr>
        <w:spacing w:line="240" w:lineRule="auto"/>
        <w:ind w:firstLineChars="0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存储温度：-</w:t>
      </w:r>
      <w:r>
        <w:rPr>
          <w:rFonts w:hint="default" w:ascii="Times New Roman" w:hAnsi="Times New Roman" w:cs="Times New Roman"/>
          <w:sz w:val="21"/>
          <w:szCs w:val="21"/>
        </w:rPr>
        <w:t>2</w:t>
      </w:r>
      <w:r>
        <w:rPr>
          <w:rFonts w:hint="default" w:ascii="Times New Roman" w:hAnsi="Times New Roman" w:cs="Times New Roman"/>
          <w:sz w:val="21"/>
          <w:szCs w:val="21"/>
        </w:rPr>
        <w:t>0℃～+</w:t>
      </w:r>
      <w:r>
        <w:rPr>
          <w:rFonts w:hint="default" w:ascii="Times New Roman" w:hAnsi="Times New Roman" w:cs="Times New Roman"/>
          <w:sz w:val="21"/>
          <w:szCs w:val="21"/>
        </w:rPr>
        <w:t>7</w:t>
      </w:r>
      <w:r>
        <w:rPr>
          <w:rFonts w:hint="default" w:ascii="Times New Roman" w:hAnsi="Times New Roman" w:cs="Times New Roman"/>
          <w:sz w:val="21"/>
          <w:szCs w:val="21"/>
        </w:rPr>
        <w:t>5℃</w:t>
      </w:r>
    </w:p>
    <w:p>
      <w:pPr>
        <w:pStyle w:val="22"/>
        <w:numPr>
          <w:ilvl w:val="0"/>
          <w:numId w:val="6"/>
        </w:numPr>
        <w:spacing w:line="240" w:lineRule="auto"/>
        <w:ind w:firstLineChars="0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工作湿度：5～95%</w:t>
      </w:r>
    </w:p>
    <w:p>
      <w:pPr>
        <w:pStyle w:val="22"/>
        <w:numPr>
          <w:ilvl w:val="0"/>
          <w:numId w:val="6"/>
        </w:numPr>
        <w:spacing w:line="240" w:lineRule="auto"/>
        <w:ind w:firstLineChars="0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柜体结构：柜体符合室内安装要求，有足够空间，保证安全，同时安装维护方便</w:t>
      </w:r>
    </w:p>
    <w:p>
      <w:pPr>
        <w:pStyle w:val="22"/>
        <w:numPr>
          <w:ilvl w:val="0"/>
          <w:numId w:val="6"/>
        </w:numPr>
        <w:spacing w:line="240" w:lineRule="auto"/>
        <w:ind w:firstLineChars="0"/>
        <w:rPr>
          <w:rFonts w:hint="default" w:ascii="Times New Roman" w:hAnsi="Times New Roman" w:eastAsia="宋体" w:cs="Times New Roman"/>
          <w:b w:val="0"/>
          <w:bCs/>
          <w:spacing w:val="0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cs="Times New Roman"/>
          <w:sz w:val="21"/>
          <w:szCs w:val="21"/>
        </w:rPr>
        <w:t>安装方式：室内落地式安装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/直流柜内安装。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cs="Times New Roman"/>
          <w:b/>
          <w:snapToGrid w:val="0"/>
          <w:kern w:val="0"/>
          <w:sz w:val="24"/>
        </w:rPr>
      </w:pPr>
      <w:r>
        <w:rPr>
          <w:rFonts w:hint="default" w:ascii="Times New Roman" w:hAnsi="Times New Roman" w:cs="Times New Roman"/>
          <w:b/>
          <w:snapToGrid w:val="0"/>
          <w:kern w:val="0"/>
          <w:sz w:val="24"/>
        </w:rPr>
        <w:t>供应商资格条件</w:t>
      </w:r>
    </w:p>
    <w:p>
      <w:pPr>
        <w:pStyle w:val="6"/>
        <w:ind w:firstLine="48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z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cs="Times New Roman"/>
          <w:b/>
          <w:snapToGrid w:val="0"/>
          <w:kern w:val="0"/>
          <w:sz w:val="24"/>
        </w:rPr>
      </w:pPr>
      <w:r>
        <w:rPr>
          <w:rFonts w:hint="default" w:ascii="Times New Roman" w:hAnsi="Times New Roman" w:cs="Times New Roman"/>
          <w:b/>
          <w:snapToGrid w:val="0"/>
          <w:kern w:val="0"/>
          <w:sz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cs="Times New Roman"/>
          <w:snapToGrid w:val="0"/>
          <w:color w:val="000000"/>
          <w:kern w:val="0"/>
          <w:sz w:val="24"/>
        </w:rPr>
      </w:pPr>
      <w:r>
        <w:rPr>
          <w:rFonts w:hint="default" w:ascii="Times New Roman" w:hAnsi="Times New Roman" w:cs="Times New Roman"/>
          <w:sz w:val="24"/>
        </w:rPr>
        <w:t>凡有意参加本次采购且具备履行本项目能力的供应商，请</w:t>
      </w:r>
      <w:r>
        <w:rPr>
          <w:rFonts w:hint="default" w:ascii="Times New Roman" w:hAnsi="Times New Roman" w:cs="Times New Roman"/>
          <w:color w:val="000000"/>
          <w:sz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</w:rPr>
        <w:t>响应回执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  <w:lang w:val="en-US" w:eastAsia="zh-CN"/>
        </w:rPr>
        <w:t>及营业执照盖章件</w:t>
      </w:r>
      <w:r>
        <w:rPr>
          <w:rFonts w:hint="default" w:ascii="Times New Roman" w:hAnsi="Times New Roman" w:cs="Times New Roman"/>
          <w:color w:val="000000"/>
          <w:sz w:val="24"/>
        </w:rPr>
        <w:t>在</w:t>
      </w:r>
      <w:r>
        <w:rPr>
          <w:rFonts w:hint="default" w:ascii="Times New Roman" w:hAnsi="Times New Roman" w:cs="Times New Roman"/>
          <w:color w:val="000000"/>
          <w:sz w:val="24"/>
          <w:u w:val="single"/>
        </w:rPr>
        <w:t>202</w:t>
      </w:r>
      <w:r>
        <w:rPr>
          <w:rFonts w:hint="default" w:ascii="Times New Roman" w:hAnsi="Times New Roman" w:cs="Times New Roman"/>
          <w:color w:val="000000"/>
          <w:sz w:val="24"/>
          <w:u w:val="single"/>
          <w:lang w:val="en-US" w:eastAsia="zh-CN"/>
        </w:rPr>
        <w:t>4</w:t>
      </w:r>
      <w:r>
        <w:rPr>
          <w:rFonts w:hint="default" w:ascii="Times New Roman" w:hAnsi="Times New Roman" w:cs="Times New Roman"/>
          <w:color w:val="000000"/>
          <w:sz w:val="24"/>
          <w:u w:val="single"/>
        </w:rPr>
        <w:t>年</w:t>
      </w:r>
      <w:r>
        <w:rPr>
          <w:rFonts w:hint="default" w:ascii="Times New Roman" w:hAnsi="Times New Roman" w:cs="Times New Roman"/>
          <w:color w:val="000000"/>
          <w:sz w:val="24"/>
          <w:u w:val="single"/>
          <w:lang w:val="en-US" w:eastAsia="zh-CN"/>
        </w:rPr>
        <w:t>3</w:t>
      </w:r>
      <w:r>
        <w:rPr>
          <w:rFonts w:hint="default" w:ascii="Times New Roman" w:hAnsi="Times New Roman" w:cs="Times New Roman"/>
          <w:color w:val="000000"/>
          <w:sz w:val="24"/>
          <w:u w:val="single"/>
        </w:rPr>
        <w:t>月</w:t>
      </w:r>
      <w:r>
        <w:rPr>
          <w:rFonts w:hint="default" w:ascii="Times New Roman" w:hAnsi="Times New Roman" w:cs="Times New Roman"/>
          <w:color w:val="000000"/>
          <w:sz w:val="24"/>
          <w:u w:val="single"/>
          <w:lang w:val="en-US" w:eastAsia="zh-CN"/>
        </w:rPr>
        <w:t>1</w:t>
      </w:r>
      <w:r>
        <w:rPr>
          <w:rFonts w:hint="eastAsia" w:ascii="Times New Roman" w:hAnsi="Times New Roman" w:cs="Times New Roman"/>
          <w:color w:val="000000"/>
          <w:sz w:val="24"/>
          <w:u w:val="single"/>
          <w:lang w:val="en-US" w:eastAsia="zh-CN"/>
        </w:rPr>
        <w:t>8</w:t>
      </w:r>
      <w:r>
        <w:rPr>
          <w:rFonts w:hint="default" w:ascii="Times New Roman" w:hAnsi="Times New Roman" w:cs="Times New Roman"/>
          <w:color w:val="000000"/>
          <w:sz w:val="24"/>
          <w:u w:val="single"/>
        </w:rPr>
        <w:t>日</w:t>
      </w:r>
      <w:r>
        <w:rPr>
          <w:rFonts w:hint="default" w:ascii="Times New Roman" w:hAnsi="Times New Roman" w:cs="Times New Roman"/>
          <w:color w:val="000000"/>
          <w:sz w:val="24"/>
          <w:u w:val="single"/>
          <w:lang w:val="en-US" w:eastAsia="zh-CN"/>
        </w:rPr>
        <w:t>1</w:t>
      </w:r>
      <w:r>
        <w:rPr>
          <w:rFonts w:hint="eastAsia" w:ascii="Times New Roman" w:hAnsi="Times New Roman" w:cs="Times New Roman"/>
          <w:color w:val="000000"/>
          <w:sz w:val="24"/>
          <w:u w:val="single"/>
          <w:lang w:val="en-US" w:eastAsia="zh-CN"/>
        </w:rPr>
        <w:t>2</w:t>
      </w:r>
      <w:r>
        <w:rPr>
          <w:rFonts w:hint="default" w:ascii="Times New Roman" w:hAnsi="Times New Roman" w:cs="Times New Roman"/>
          <w:color w:val="000000"/>
          <w:sz w:val="24"/>
          <w:u w:val="single"/>
        </w:rPr>
        <w:t>：00</w:t>
      </w:r>
      <w:r>
        <w:rPr>
          <w:rFonts w:hint="default" w:ascii="Times New Roman" w:hAnsi="Times New Roman" w:cs="Times New Roman"/>
          <w:color w:val="000000"/>
          <w:sz w:val="24"/>
        </w:rPr>
        <w:t>之前发送至采购人邮箱：</w:t>
      </w:r>
      <w:r>
        <w:rPr>
          <w:rFonts w:hint="default" w:ascii="Times New Roman" w:hAnsi="Times New Roman" w:cs="Times New Roman"/>
          <w:color w:val="000000"/>
          <w:sz w:val="24"/>
          <w:lang w:val="en-US" w:eastAsia="zh-CN"/>
        </w:rPr>
        <w:t>1204355776</w:t>
      </w:r>
      <w:r>
        <w:rPr>
          <w:rFonts w:hint="default" w:ascii="Times New Roman" w:hAnsi="Times New Roman" w:cs="Times New Roman"/>
          <w:snapToGrid w:val="0"/>
          <w:color w:val="000000"/>
          <w:kern w:val="0"/>
          <w:sz w:val="24"/>
        </w:rPr>
        <w:t>@</w:t>
      </w:r>
      <w:r>
        <w:rPr>
          <w:rFonts w:hint="default" w:ascii="Times New Roman" w:hAnsi="Times New Roman" w:cs="Times New Roman"/>
          <w:snapToGrid w:val="0"/>
          <w:color w:val="000000"/>
          <w:kern w:val="0"/>
          <w:sz w:val="24"/>
          <w:lang w:val="en-US" w:eastAsia="zh-CN"/>
        </w:rPr>
        <w:t>qq</w:t>
      </w:r>
      <w:r>
        <w:rPr>
          <w:rFonts w:hint="default" w:ascii="Times New Roman" w:hAnsi="Times New Roman" w:cs="Times New Roman"/>
          <w:snapToGrid w:val="0"/>
          <w:color w:val="000000"/>
          <w:kern w:val="0"/>
          <w:sz w:val="24"/>
        </w:rPr>
        <w:t>.com，逾期无效。采购人在收到响应回执后根据供应商信用信誉等情况进行讨论提议，</w:t>
      </w:r>
      <w:bookmarkStart w:id="3" w:name="_GoBack"/>
      <w:bookmarkEnd w:id="3"/>
      <w:r>
        <w:rPr>
          <w:rFonts w:hint="default" w:ascii="Times New Roman" w:hAnsi="Times New Roman" w:cs="Times New Roman"/>
          <w:snapToGrid w:val="0"/>
          <w:color w:val="000000"/>
          <w:kern w:val="0"/>
          <w:sz w:val="24"/>
        </w:rPr>
        <w:t>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cs="Times New Roman"/>
          <w:b/>
          <w:snapToGrid w:val="0"/>
          <w:kern w:val="0"/>
          <w:sz w:val="24"/>
        </w:rPr>
      </w:pPr>
      <w:bookmarkStart w:id="0" w:name="_Toc332965960"/>
      <w:bookmarkStart w:id="1" w:name="_Toc332793891"/>
      <w:bookmarkStart w:id="2" w:name="_Toc332793818"/>
      <w:r>
        <w:rPr>
          <w:rFonts w:hint="default" w:ascii="Times New Roman" w:hAnsi="Times New Roman" w:cs="Times New Roman"/>
          <w:b/>
          <w:snapToGrid w:val="0"/>
          <w:kern w:val="0"/>
          <w:sz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cs="Times New Roman"/>
          <w:color w:val="000000"/>
          <w:sz w:val="24"/>
        </w:rPr>
      </w:pPr>
      <w:r>
        <w:rPr>
          <w:rFonts w:hint="default" w:ascii="Times New Roman" w:hAnsi="Times New Roman" w:cs="Times New Roman"/>
          <w:color w:val="000000"/>
          <w:sz w:val="24"/>
        </w:rPr>
        <w:t>采购  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cs="Times New Roman"/>
          <w:color w:val="000000"/>
          <w:sz w:val="24"/>
        </w:rPr>
      </w:pPr>
      <w:r>
        <w:rPr>
          <w:rFonts w:hint="default" w:ascii="Times New Roman" w:hAnsi="Times New Roman" w:cs="Times New Roman"/>
          <w:color w:val="000000"/>
          <w:sz w:val="24"/>
        </w:rPr>
        <w:t>采购人地址：广州市番禺区洛浦街道北环路87号道路研究院二号楼</w:t>
      </w:r>
    </w:p>
    <w:p>
      <w:pPr>
        <w:topLinePunct/>
        <w:spacing w:line="360" w:lineRule="auto"/>
        <w:rPr>
          <w:rFonts w:hint="default" w:ascii="Times New Roman" w:hAnsi="Times New Roman" w:cs="Times New Roman"/>
          <w:color w:val="000000"/>
          <w:sz w:val="24"/>
        </w:rPr>
      </w:pPr>
      <w:r>
        <w:rPr>
          <w:rFonts w:hint="default" w:ascii="Times New Roman" w:hAnsi="Times New Roman" w:cs="Times New Roman"/>
          <w:color w:val="000000"/>
          <w:sz w:val="24"/>
        </w:rPr>
        <w:t>联  系  人：</w:t>
      </w:r>
      <w:r>
        <w:rPr>
          <w:rFonts w:hint="default" w:ascii="Times New Roman" w:hAnsi="Times New Roman" w:cs="Times New Roman"/>
          <w:color w:val="000000"/>
          <w:sz w:val="24"/>
          <w:lang w:val="en-US" w:eastAsia="zh-CN"/>
        </w:rPr>
        <w:t>刘</w:t>
      </w:r>
      <w:r>
        <w:rPr>
          <w:rFonts w:hint="default" w:ascii="Times New Roman" w:hAnsi="Times New Roman" w:cs="Times New Roman"/>
          <w:color w:val="000000"/>
          <w:sz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cs="Times New Roman"/>
          <w:color w:val="000000"/>
          <w:sz w:val="24"/>
        </w:rPr>
      </w:pPr>
      <w:r>
        <w:rPr>
          <w:rFonts w:hint="default" w:ascii="Times New Roman" w:hAnsi="Times New Roman" w:cs="Times New Roman"/>
          <w:color w:val="000000"/>
          <w:sz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cs="Times New Roman"/>
          <w:color w:val="000000"/>
          <w:sz w:val="24"/>
        </w:rPr>
      </w:pPr>
      <w:r>
        <w:rPr>
          <w:rFonts w:hint="default" w:ascii="Times New Roman" w:hAnsi="Times New Roman" w:cs="Times New Roman"/>
          <w:color w:val="000000"/>
          <w:sz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cs="Times New Roman"/>
          <w:color w:val="000000"/>
          <w:sz w:val="24"/>
        </w:rPr>
      </w:pPr>
      <w:r>
        <w:rPr>
          <w:rFonts w:hint="default" w:ascii="Times New Roman" w:hAnsi="Times New Roman" w:cs="Times New Roman"/>
          <w:color w:val="000000"/>
          <w:sz w:val="24"/>
        </w:rPr>
        <w:t xml:space="preserve">                                              202</w:t>
      </w:r>
      <w:r>
        <w:rPr>
          <w:rFonts w:hint="default" w:ascii="Times New Roman" w:hAnsi="Times New Roman" w:cs="Times New Roman"/>
          <w:color w:val="000000"/>
          <w:sz w:val="24"/>
          <w:lang w:val="en-US" w:eastAsia="zh-CN"/>
        </w:rPr>
        <w:t>4</w:t>
      </w:r>
      <w:r>
        <w:rPr>
          <w:rFonts w:hint="default" w:ascii="Times New Roman" w:hAnsi="Times New Roman" w:cs="Times New Roman"/>
          <w:color w:val="000000"/>
          <w:sz w:val="24"/>
        </w:rPr>
        <w:t>年</w:t>
      </w:r>
      <w:r>
        <w:rPr>
          <w:rFonts w:hint="default" w:ascii="Times New Roman" w:hAnsi="Times New Roman" w:cs="Times New Roman"/>
          <w:color w:val="000000"/>
          <w:sz w:val="24"/>
          <w:lang w:val="en-US" w:eastAsia="zh-CN"/>
        </w:rPr>
        <w:t>0</w:t>
      </w:r>
      <w:r>
        <w:rPr>
          <w:rFonts w:hint="default" w:ascii="Times New Roman" w:hAnsi="Times New Roman" w:cs="Times New Roman"/>
          <w:color w:val="000000"/>
          <w:sz w:val="24"/>
          <w:lang w:val="en-US" w:eastAsia="zh-CN"/>
        </w:rPr>
        <w:t>3</w:t>
      </w:r>
      <w:r>
        <w:rPr>
          <w:rFonts w:hint="default" w:ascii="Times New Roman" w:hAnsi="Times New Roman" w:cs="Times New Roman"/>
          <w:color w:val="000000"/>
          <w:sz w:val="24"/>
        </w:rPr>
        <w:t>月</w:t>
      </w:r>
      <w:r>
        <w:rPr>
          <w:rFonts w:hint="default" w:ascii="Times New Roman" w:hAnsi="Times New Roman" w:cs="Times New Roman"/>
          <w:color w:val="000000"/>
          <w:sz w:val="24"/>
          <w:lang w:val="en-US" w:eastAsia="zh-CN"/>
        </w:rPr>
        <w:t>1</w:t>
      </w:r>
      <w:r>
        <w:rPr>
          <w:rFonts w:hint="default" w:ascii="Times New Roman" w:hAnsi="Times New Roman" w:cs="Times New Roman"/>
          <w:color w:val="000000"/>
          <w:sz w:val="24"/>
          <w:lang w:val="en-US" w:eastAsia="zh-CN"/>
        </w:rPr>
        <w:t>5</w:t>
      </w:r>
      <w:r>
        <w:rPr>
          <w:rFonts w:hint="default" w:ascii="Times New Roman" w:hAnsi="Times New Roman" w:cs="Times New Roman"/>
          <w:color w:val="000000"/>
          <w:sz w:val="24"/>
        </w:rPr>
        <w:t>日</w:t>
      </w:r>
    </w:p>
    <w:p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martSimSu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ngLiU_HKSCS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4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5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6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30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6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7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1D9751A1"/>
    <w:multiLevelType w:val="multilevel"/>
    <w:tmpl w:val="1D9751A1"/>
    <w:lvl w:ilvl="0" w:tentative="0">
      <w:start w:val="1"/>
      <w:numFmt w:val="bullet"/>
      <w:lvlText w:val=""/>
      <w:lvlJc w:val="left"/>
      <w:pPr>
        <w:ind w:left="44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abstractNum w:abstractNumId="4">
    <w:nsid w:val="410115D1"/>
    <w:multiLevelType w:val="singleLevel"/>
    <w:tmpl w:val="410115D1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5">
    <w:nsid w:val="6E230785"/>
    <w:multiLevelType w:val="multilevel"/>
    <w:tmpl w:val="6E230785"/>
    <w:lvl w:ilvl="0" w:tentative="0">
      <w:start w:val="1"/>
      <w:numFmt w:val="bullet"/>
      <w:pStyle w:val="35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2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3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4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9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1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7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8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WI3N2RkNjNkMmQ3Y2I1ZjE0N2ZmZTdkNWY5YmY4ZmI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C1A2E"/>
    <w:rsid w:val="00ED32E4"/>
    <w:rsid w:val="00EE2011"/>
    <w:rsid w:val="00FA736A"/>
    <w:rsid w:val="00FC4153"/>
    <w:rsid w:val="00FD7ED5"/>
    <w:rsid w:val="02040FDF"/>
    <w:rsid w:val="03393105"/>
    <w:rsid w:val="046E3765"/>
    <w:rsid w:val="04A647CA"/>
    <w:rsid w:val="061439B5"/>
    <w:rsid w:val="06622CB2"/>
    <w:rsid w:val="066D593A"/>
    <w:rsid w:val="072D08E0"/>
    <w:rsid w:val="08EE3671"/>
    <w:rsid w:val="0A69025B"/>
    <w:rsid w:val="0C0C29EB"/>
    <w:rsid w:val="0DA26991"/>
    <w:rsid w:val="0ECB4993"/>
    <w:rsid w:val="112A7044"/>
    <w:rsid w:val="12ED5CBA"/>
    <w:rsid w:val="13FC61B5"/>
    <w:rsid w:val="14C447F8"/>
    <w:rsid w:val="16283515"/>
    <w:rsid w:val="18606150"/>
    <w:rsid w:val="19B32EC3"/>
    <w:rsid w:val="1A0861DC"/>
    <w:rsid w:val="1A786886"/>
    <w:rsid w:val="1D5379E4"/>
    <w:rsid w:val="1DC008E5"/>
    <w:rsid w:val="1F3E25C9"/>
    <w:rsid w:val="1F8905C9"/>
    <w:rsid w:val="20205D7D"/>
    <w:rsid w:val="2039362C"/>
    <w:rsid w:val="24875F4B"/>
    <w:rsid w:val="268D4A24"/>
    <w:rsid w:val="28126A09"/>
    <w:rsid w:val="292922C2"/>
    <w:rsid w:val="2A6117E0"/>
    <w:rsid w:val="2A9C2048"/>
    <w:rsid w:val="2B975488"/>
    <w:rsid w:val="2BB05A29"/>
    <w:rsid w:val="2BBE1469"/>
    <w:rsid w:val="2C101B15"/>
    <w:rsid w:val="2D393A69"/>
    <w:rsid w:val="2E0860D1"/>
    <w:rsid w:val="2E5A20BA"/>
    <w:rsid w:val="2ECB5FE2"/>
    <w:rsid w:val="34403FA4"/>
    <w:rsid w:val="34DB5F68"/>
    <w:rsid w:val="35912415"/>
    <w:rsid w:val="35B04BF9"/>
    <w:rsid w:val="38A511DA"/>
    <w:rsid w:val="3A7D6982"/>
    <w:rsid w:val="3AD36C02"/>
    <w:rsid w:val="3BDA652C"/>
    <w:rsid w:val="3C047712"/>
    <w:rsid w:val="3DD1395F"/>
    <w:rsid w:val="3E8C010F"/>
    <w:rsid w:val="3EFD65C9"/>
    <w:rsid w:val="400E2C48"/>
    <w:rsid w:val="403A795B"/>
    <w:rsid w:val="4044389B"/>
    <w:rsid w:val="40C03B09"/>
    <w:rsid w:val="41D41C5C"/>
    <w:rsid w:val="42100EF9"/>
    <w:rsid w:val="422E227F"/>
    <w:rsid w:val="434B112E"/>
    <w:rsid w:val="46C97C03"/>
    <w:rsid w:val="472B5FAC"/>
    <w:rsid w:val="48AD79E8"/>
    <w:rsid w:val="4908486B"/>
    <w:rsid w:val="49DC5C4D"/>
    <w:rsid w:val="4A44006F"/>
    <w:rsid w:val="4BFB311F"/>
    <w:rsid w:val="4DA31AFF"/>
    <w:rsid w:val="4DB34E2F"/>
    <w:rsid w:val="50DE6FEF"/>
    <w:rsid w:val="515756D7"/>
    <w:rsid w:val="52871060"/>
    <w:rsid w:val="52ED4007"/>
    <w:rsid w:val="52FF434B"/>
    <w:rsid w:val="53CB2ED2"/>
    <w:rsid w:val="54210D44"/>
    <w:rsid w:val="560F1B9D"/>
    <w:rsid w:val="570D1A54"/>
    <w:rsid w:val="572A4CB6"/>
    <w:rsid w:val="57BF2D4E"/>
    <w:rsid w:val="58B74CBC"/>
    <w:rsid w:val="5B2814D9"/>
    <w:rsid w:val="5B8E5452"/>
    <w:rsid w:val="5C514792"/>
    <w:rsid w:val="5E8E770E"/>
    <w:rsid w:val="5F087C2D"/>
    <w:rsid w:val="61147E15"/>
    <w:rsid w:val="614C5D65"/>
    <w:rsid w:val="623B7383"/>
    <w:rsid w:val="62A414BE"/>
    <w:rsid w:val="63166D1A"/>
    <w:rsid w:val="65922BE0"/>
    <w:rsid w:val="672D5C9D"/>
    <w:rsid w:val="678B2528"/>
    <w:rsid w:val="67F33F26"/>
    <w:rsid w:val="6AC87D14"/>
    <w:rsid w:val="6BBF2EC5"/>
    <w:rsid w:val="6C083654"/>
    <w:rsid w:val="6C094604"/>
    <w:rsid w:val="6C751B3B"/>
    <w:rsid w:val="6E354925"/>
    <w:rsid w:val="6E4A295F"/>
    <w:rsid w:val="710B2708"/>
    <w:rsid w:val="724471CD"/>
    <w:rsid w:val="74963E13"/>
    <w:rsid w:val="760D37CC"/>
    <w:rsid w:val="79E2018B"/>
    <w:rsid w:val="7C7F737F"/>
    <w:rsid w:val="7DD345AE"/>
    <w:rsid w:val="7ECD61AB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link w:val="18"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3">
    <w:name w:val="heading 3"/>
    <w:basedOn w:val="1"/>
    <w:next w:val="1"/>
    <w:link w:val="19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4">
    <w:name w:val="heading 4"/>
    <w:basedOn w:val="1"/>
    <w:next w:val="1"/>
    <w:link w:val="20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5">
    <w:name w:val="heading 5"/>
    <w:basedOn w:val="1"/>
    <w:next w:val="1"/>
    <w:link w:val="21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99"/>
    <w:pPr>
      <w:ind w:firstLine="420" w:firstLineChars="200"/>
    </w:p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9">
    <w:name w:val="Balloon Text"/>
    <w:basedOn w:val="1"/>
    <w:link w:val="40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1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 2"/>
    <w:basedOn w:val="7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styleId="15">
    <w:name w:val="Hyperlink"/>
    <w:basedOn w:val="14"/>
    <w:unhideWhenUsed/>
    <w:qFormat/>
    <w:uiPriority w:val="99"/>
    <w:rPr>
      <w:color w:val="0000FF"/>
      <w:u w:val="single"/>
    </w:rPr>
  </w:style>
  <w:style w:type="character" w:customStyle="1" w:styleId="16">
    <w:name w:val="页眉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页脚 Char"/>
    <w:basedOn w:val="14"/>
    <w:link w:val="10"/>
    <w:autoRedefine/>
    <w:qFormat/>
    <w:uiPriority w:val="0"/>
    <w:rPr>
      <w:kern w:val="2"/>
      <w:sz w:val="18"/>
      <w:szCs w:val="18"/>
    </w:rPr>
  </w:style>
  <w:style w:type="character" w:customStyle="1" w:styleId="18">
    <w:name w:val="标题 2 Char"/>
    <w:basedOn w:val="14"/>
    <w:link w:val="2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9">
    <w:name w:val="标题 3 Char"/>
    <w:basedOn w:val="14"/>
    <w:link w:val="3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20">
    <w:name w:val="标题 4 Char"/>
    <w:basedOn w:val="14"/>
    <w:link w:val="4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1">
    <w:name w:val="标题 5 Char"/>
    <w:basedOn w:val="14"/>
    <w:link w:val="5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2">
    <w:name w:val="List Paragraph"/>
    <w:basedOn w:val="1"/>
    <w:link w:val="23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3">
    <w:name w:val="列出段落 Char"/>
    <w:link w:val="22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4">
    <w:name w:val="Item Step in table Char Char"/>
    <w:link w:val="25"/>
    <w:autoRedefine/>
    <w:qFormat/>
    <w:uiPriority w:val="0"/>
    <w:rPr>
      <w:rFonts w:cs="Arial"/>
      <w:bCs/>
      <w:szCs w:val="28"/>
    </w:rPr>
  </w:style>
  <w:style w:type="paragraph" w:customStyle="1" w:styleId="25">
    <w:name w:val="Item Step in table"/>
    <w:basedOn w:val="5"/>
    <w:link w:val="24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6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7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8">
    <w:name w:val="Table Text Char"/>
    <w:link w:val="29"/>
    <w:autoRedefine/>
    <w:qFormat/>
    <w:uiPriority w:val="0"/>
    <w:rPr>
      <w:rFonts w:cs="Arial"/>
      <w:szCs w:val="21"/>
    </w:rPr>
  </w:style>
  <w:style w:type="paragraph" w:customStyle="1" w:styleId="29">
    <w:name w:val="Table Text"/>
    <w:basedOn w:val="1"/>
    <w:link w:val="28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30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1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2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3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4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5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6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7">
    <w:name w:val="Notes Text Step"/>
    <w:basedOn w:val="31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8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9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40">
    <w:name w:val="批注框文本 Char"/>
    <w:basedOn w:val="14"/>
    <w:link w:val="9"/>
    <w:autoRedefine/>
    <w:qFormat/>
    <w:uiPriority w:val="0"/>
    <w:rPr>
      <w:kern w:val="2"/>
      <w:sz w:val="18"/>
      <w:szCs w:val="18"/>
    </w:rPr>
  </w:style>
  <w:style w:type="character" w:customStyle="1" w:styleId="41">
    <w:name w:val="font31"/>
    <w:basedOn w:val="14"/>
    <w:autoRedefine/>
    <w:qFormat/>
    <w:uiPriority w:val="0"/>
    <w:rPr>
      <w:rFonts w:hint="default" w:ascii="smartSimSun" w:hAnsi="smartSimSun" w:eastAsia="smartSimSun" w:cs="smartSimSun"/>
      <w:color w:val="000000"/>
      <w:sz w:val="24"/>
      <w:szCs w:val="24"/>
      <w:u w:val="none"/>
    </w:rPr>
  </w:style>
  <w:style w:type="character" w:customStyle="1" w:styleId="42">
    <w:name w:val="font41"/>
    <w:basedOn w:val="14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43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44">
    <w:name w:val="font11"/>
    <w:basedOn w:val="14"/>
    <w:autoRedefine/>
    <w:qFormat/>
    <w:uiPriority w:val="0"/>
    <w:rPr>
      <w:rFonts w:hint="eastAsia" w:ascii="宋体" w:hAnsi="宋体" w:eastAsia="宋体" w:cs="宋体"/>
      <w:b/>
      <w:bCs/>
      <w:color w:val="FF0000"/>
      <w:sz w:val="24"/>
      <w:szCs w:val="24"/>
      <w:u w:val="none"/>
    </w:rPr>
  </w:style>
  <w:style w:type="character" w:customStyle="1" w:styleId="45">
    <w:name w:val="font51"/>
    <w:basedOn w:val="14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46">
    <w:name w:val="font71"/>
    <w:basedOn w:val="14"/>
    <w:autoRedefine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47">
    <w:name w:val="font61"/>
    <w:basedOn w:val="14"/>
    <w:autoRedefine/>
    <w:qFormat/>
    <w:uiPriority w:val="0"/>
    <w:rPr>
      <w:rFonts w:hint="default" w:ascii="Times New Roman" w:hAnsi="Times New Roman" w:cs="Times New Roman"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1524</Words>
  <Characters>2179</Characters>
  <Lines>61</Lines>
  <Paragraphs>17</Paragraphs>
  <TotalTime>0</TotalTime>
  <ScaleCrop>false</ScaleCrop>
  <LinksUpToDate>false</LinksUpToDate>
  <CharactersWithSpaces>2335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L</cp:lastModifiedBy>
  <cp:lastPrinted>2022-10-20T06:50:00Z</cp:lastPrinted>
  <dcterms:modified xsi:type="dcterms:W3CDTF">2024-03-15T09:38:47Z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B75484C30A0D48A998196F431A9A3E69</vt:lpwstr>
  </property>
</Properties>
</file>