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jc w:val="center"/>
        <w:rPr>
          <w:rFonts w:hint="default" w:ascii="Times New Roman" w:hAnsi="Times New Roman" w:eastAsia="宋体" w:cs="Times New Roman"/>
          <w:sz w:val="24"/>
          <w:szCs w:val="24"/>
        </w:rPr>
      </w:pPr>
      <w:r>
        <w:rPr>
          <w:rFonts w:hint="eastAsia" w:ascii="Times New Roman" w:hAnsi="Times New Roman" w:eastAsia="宋体" w:cs="Times New Roman"/>
          <w:b/>
          <w:color w:val="000000"/>
          <w:sz w:val="30"/>
          <w:szCs w:val="30"/>
        </w:rPr>
        <w:t>广州市从化至黄埔高速公路从化南基础服务区工程智慧厕所采购意向征集公告</w:t>
      </w:r>
    </w:p>
    <w:p>
      <w:pPr>
        <w:numPr>
          <w:ilvl w:val="0"/>
          <w:numId w:val="0"/>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lang w:val="en-US" w:eastAsia="zh-CN" w:bidi="ar-SA"/>
        </w:rPr>
        <w:t>1.</w:t>
      </w:r>
      <w:r>
        <w:rPr>
          <w:rFonts w:hint="default" w:ascii="Times New Roman" w:hAnsi="Times New Roman" w:eastAsia="宋体" w:cs="Times New Roman"/>
          <w:b/>
          <w:snapToGrid w:val="0"/>
          <w:kern w:val="0"/>
          <w:sz w:val="24"/>
          <w:szCs w:val="24"/>
        </w:rPr>
        <w:t>项目概况</w:t>
      </w:r>
    </w:p>
    <w:p>
      <w:pPr>
        <w:wordWrap w:val="0"/>
        <w:topLinePunct/>
        <w:spacing w:line="360" w:lineRule="auto"/>
        <w:ind w:firstLine="566" w:firstLineChars="236"/>
        <w:rPr>
          <w:rFonts w:hint="eastAsia" w:ascii="Times New Roman" w:hAnsi="Times New Roman" w:eastAsia="宋体" w:cs="Times New Roman"/>
          <w:b/>
          <w:color w:val="000000"/>
          <w:sz w:val="30"/>
          <w:szCs w:val="30"/>
        </w:rPr>
      </w:pPr>
      <w:r>
        <w:rPr>
          <w:rFonts w:hint="default" w:ascii="Times New Roman" w:hAnsi="Times New Roman" w:eastAsia="宋体" w:cs="Times New Roman"/>
          <w:bCs/>
          <w:snapToGrid w:val="0"/>
          <w:kern w:val="0"/>
          <w:sz w:val="24"/>
          <w:szCs w:val="24"/>
        </w:rPr>
        <w:t>1.1项目名称：</w:t>
      </w:r>
      <w:r>
        <w:rPr>
          <w:rFonts w:hint="eastAsia" w:ascii="Times New Roman" w:hAnsi="Times New Roman" w:eastAsia="宋体" w:cs="Times New Roman"/>
          <w:bCs/>
          <w:snapToGrid w:val="0"/>
          <w:kern w:val="0"/>
          <w:sz w:val="24"/>
          <w:szCs w:val="24"/>
        </w:rPr>
        <w:t>广州市从化至黄埔高速公路从化南基础服务区工程</w:t>
      </w:r>
    </w:p>
    <w:p>
      <w:p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1.2项目地点：广州市</w:t>
      </w:r>
    </w:p>
    <w:p>
      <w:pPr>
        <w:numPr>
          <w:ilvl w:val="0"/>
          <w:numId w:val="0"/>
        </w:numPr>
        <w:topLinePunct/>
        <w:spacing w:line="360" w:lineRule="auto"/>
        <w:outlineLvl w:val="1"/>
        <w:rPr>
          <w:rFonts w:hint="default" w:ascii="Times New Roman" w:hAnsi="Times New Roman" w:eastAsia="宋体" w:cs="Times New Roman"/>
          <w:b/>
          <w:sz w:val="24"/>
          <w:szCs w:val="24"/>
        </w:rPr>
      </w:pPr>
      <w:r>
        <w:rPr>
          <w:rFonts w:hint="default" w:ascii="Times New Roman" w:hAnsi="Times New Roman" w:eastAsia="宋体" w:cs="Times New Roman"/>
          <w:b/>
          <w:kern w:val="2"/>
          <w:sz w:val="24"/>
          <w:szCs w:val="24"/>
          <w:lang w:val="en-US" w:eastAsia="zh-CN" w:bidi="ar-SA"/>
        </w:rPr>
        <w:t>2.</w:t>
      </w:r>
      <w:r>
        <w:rPr>
          <w:rFonts w:hint="default" w:ascii="Times New Roman" w:hAnsi="Times New Roman" w:eastAsia="宋体" w:cs="Times New Roman"/>
          <w:b/>
          <w:snapToGrid w:val="0"/>
          <w:kern w:val="0"/>
          <w:sz w:val="24"/>
          <w:szCs w:val="24"/>
        </w:rPr>
        <w:t>具体工程量清单</w:t>
      </w:r>
    </w:p>
    <w:tbl>
      <w:tblPr>
        <w:tblStyle w:val="14"/>
        <w:tblW w:w="85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8"/>
        <w:gridCol w:w="2444"/>
        <w:gridCol w:w="1275"/>
        <w:gridCol w:w="720"/>
        <w:gridCol w:w="1050"/>
        <w:gridCol w:w="1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528"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序号</w:t>
            </w:r>
          </w:p>
        </w:tc>
        <w:tc>
          <w:tcPr>
            <w:tcW w:w="2444"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材料名称</w:t>
            </w:r>
          </w:p>
        </w:tc>
        <w:tc>
          <w:tcPr>
            <w:tcW w:w="127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规格型号</w:t>
            </w:r>
          </w:p>
        </w:tc>
        <w:tc>
          <w:tcPr>
            <w:tcW w:w="720"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单位</w:t>
            </w:r>
          </w:p>
        </w:tc>
        <w:tc>
          <w:tcPr>
            <w:tcW w:w="1050"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数量</w:t>
            </w:r>
          </w:p>
        </w:tc>
        <w:tc>
          <w:tcPr>
            <w:tcW w:w="1515"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528"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804-5-1</w:t>
            </w:r>
          </w:p>
        </w:tc>
        <w:tc>
          <w:tcPr>
            <w:tcW w:w="2444"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蹲位红外探测器</w:t>
            </w:r>
          </w:p>
        </w:tc>
        <w:tc>
          <w:tcPr>
            <w:tcW w:w="1275"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p>
        </w:tc>
        <w:tc>
          <w:tcPr>
            <w:tcW w:w="720"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个</w:t>
            </w:r>
          </w:p>
        </w:tc>
        <w:tc>
          <w:tcPr>
            <w:tcW w:w="1050"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206</w:t>
            </w:r>
          </w:p>
        </w:tc>
        <w:tc>
          <w:tcPr>
            <w:tcW w:w="1515" w:type="dxa"/>
            <w:shd w:val="clear" w:color="auto" w:fill="auto"/>
            <w:vAlign w:val="center"/>
          </w:tcPr>
          <w:p>
            <w:pPr>
              <w:spacing w:line="360" w:lineRule="auto"/>
              <w:jc w:val="both"/>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528"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804-5-2</w:t>
            </w:r>
          </w:p>
        </w:tc>
        <w:tc>
          <w:tcPr>
            <w:tcW w:w="2444" w:type="dxa"/>
            <w:shd w:val="clear" w:color="auto" w:fill="auto"/>
            <w:vAlign w:val="center"/>
          </w:tcPr>
          <w:p>
            <w:pPr>
              <w:spacing w:line="360" w:lineRule="auto"/>
              <w:jc w:val="center"/>
              <w:rPr>
                <w:rFonts w:hint="eastAsia" w:ascii="Times New Roman" w:hAnsi="Times New Roman" w:eastAsia="宋体" w:cs="Times New Roman"/>
                <w:sz w:val="21"/>
                <w:szCs w:val="21"/>
                <w:lang w:val="en-US" w:eastAsia="zh-CN"/>
              </w:rPr>
            </w:pPr>
            <w:r>
              <w:rPr>
                <w:rFonts w:hint="eastAsia" w:cs="Times New Roman"/>
                <w:sz w:val="21"/>
                <w:szCs w:val="21"/>
                <w:lang w:val="en-US" w:eastAsia="zh-CN"/>
              </w:rPr>
              <w:t>蹲位LED提示灯</w:t>
            </w:r>
          </w:p>
        </w:tc>
        <w:tc>
          <w:tcPr>
            <w:tcW w:w="1275"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p>
        </w:tc>
        <w:tc>
          <w:tcPr>
            <w:tcW w:w="720" w:type="dxa"/>
            <w:shd w:val="clear" w:color="auto" w:fill="auto"/>
            <w:vAlign w:val="center"/>
          </w:tcPr>
          <w:p>
            <w:pPr>
              <w:spacing w:line="360" w:lineRule="auto"/>
              <w:jc w:val="center"/>
              <w:rPr>
                <w:rFonts w:hint="eastAsia" w:ascii="Times New Roman" w:hAnsi="Times New Roman" w:eastAsia="宋体" w:cs="Times New Roman"/>
                <w:sz w:val="21"/>
                <w:szCs w:val="21"/>
                <w:lang w:val="en-US" w:eastAsia="zh-CN"/>
              </w:rPr>
            </w:pPr>
            <w:r>
              <w:rPr>
                <w:rFonts w:hint="eastAsia" w:cs="Times New Roman"/>
                <w:sz w:val="21"/>
                <w:szCs w:val="21"/>
                <w:lang w:val="en-US" w:eastAsia="zh-CN"/>
              </w:rPr>
              <w:t>个</w:t>
            </w:r>
          </w:p>
        </w:tc>
        <w:tc>
          <w:tcPr>
            <w:tcW w:w="1050"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176</w:t>
            </w:r>
          </w:p>
        </w:tc>
        <w:tc>
          <w:tcPr>
            <w:tcW w:w="1515" w:type="dxa"/>
            <w:shd w:val="clear" w:color="auto" w:fill="auto"/>
            <w:vAlign w:val="center"/>
          </w:tcPr>
          <w:p>
            <w:pPr>
              <w:spacing w:line="360" w:lineRule="auto"/>
              <w:jc w:val="both"/>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528"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804-5-3</w:t>
            </w:r>
          </w:p>
        </w:tc>
        <w:tc>
          <w:tcPr>
            <w:tcW w:w="2444" w:type="dxa"/>
            <w:shd w:val="clear" w:color="auto" w:fill="auto"/>
            <w:vAlign w:val="center"/>
          </w:tcPr>
          <w:p>
            <w:pPr>
              <w:spacing w:line="360" w:lineRule="auto"/>
              <w:jc w:val="center"/>
              <w:rPr>
                <w:rFonts w:hint="eastAsia" w:ascii="Times New Roman" w:hAnsi="Times New Roman" w:eastAsia="宋体" w:cs="Times New Roman"/>
                <w:sz w:val="21"/>
                <w:szCs w:val="21"/>
                <w:lang w:val="en-US" w:eastAsia="zh-CN"/>
              </w:rPr>
            </w:pPr>
            <w:r>
              <w:rPr>
                <w:rFonts w:hint="eastAsia" w:cs="Times New Roman"/>
                <w:sz w:val="21"/>
                <w:szCs w:val="21"/>
                <w:lang w:val="en-US" w:eastAsia="zh-CN"/>
              </w:rPr>
              <w:t>空气质量传感器</w:t>
            </w:r>
          </w:p>
        </w:tc>
        <w:tc>
          <w:tcPr>
            <w:tcW w:w="1275"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p>
        </w:tc>
        <w:tc>
          <w:tcPr>
            <w:tcW w:w="720" w:type="dxa"/>
            <w:shd w:val="clear" w:color="auto" w:fill="auto"/>
            <w:vAlign w:val="center"/>
          </w:tcPr>
          <w:p>
            <w:pPr>
              <w:spacing w:line="360" w:lineRule="auto"/>
              <w:jc w:val="center"/>
              <w:rPr>
                <w:rFonts w:hint="eastAsia" w:ascii="Times New Roman" w:hAnsi="Times New Roman" w:eastAsia="宋体" w:cs="Times New Roman"/>
                <w:sz w:val="21"/>
                <w:szCs w:val="21"/>
                <w:lang w:val="en-US" w:eastAsia="zh-CN"/>
              </w:rPr>
            </w:pPr>
            <w:r>
              <w:rPr>
                <w:rFonts w:hint="eastAsia" w:cs="Times New Roman"/>
                <w:sz w:val="21"/>
                <w:szCs w:val="21"/>
                <w:lang w:val="en-US" w:eastAsia="zh-CN"/>
              </w:rPr>
              <w:t>个</w:t>
            </w:r>
          </w:p>
        </w:tc>
        <w:tc>
          <w:tcPr>
            <w:tcW w:w="1050"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4</w:t>
            </w:r>
          </w:p>
        </w:tc>
        <w:tc>
          <w:tcPr>
            <w:tcW w:w="151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528"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804-5-4</w:t>
            </w:r>
          </w:p>
        </w:tc>
        <w:tc>
          <w:tcPr>
            <w:tcW w:w="2444"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双目客流计数器</w:t>
            </w:r>
          </w:p>
        </w:tc>
        <w:tc>
          <w:tcPr>
            <w:tcW w:w="1275"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p>
        </w:tc>
        <w:tc>
          <w:tcPr>
            <w:tcW w:w="720"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个</w:t>
            </w:r>
          </w:p>
        </w:tc>
        <w:tc>
          <w:tcPr>
            <w:tcW w:w="1050"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2</w:t>
            </w:r>
          </w:p>
        </w:tc>
        <w:tc>
          <w:tcPr>
            <w:tcW w:w="151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528" w:type="dxa"/>
            <w:shd w:val="clear" w:color="auto" w:fill="auto"/>
            <w:vAlign w:val="center"/>
          </w:tcPr>
          <w:p>
            <w:pPr>
              <w:spacing w:line="360" w:lineRule="auto"/>
              <w:jc w:val="center"/>
              <w:rPr>
                <w:rFonts w:hint="eastAsia" w:cs="Times New Roman"/>
                <w:sz w:val="21"/>
                <w:szCs w:val="21"/>
                <w:lang w:val="en-US" w:eastAsia="zh-CN"/>
              </w:rPr>
            </w:pPr>
            <w:r>
              <w:rPr>
                <w:rFonts w:hint="eastAsia" w:cs="Times New Roman"/>
                <w:sz w:val="21"/>
                <w:szCs w:val="21"/>
                <w:lang w:val="en-US" w:eastAsia="zh-CN"/>
              </w:rPr>
              <w:t>804-5-5</w:t>
            </w:r>
          </w:p>
        </w:tc>
        <w:tc>
          <w:tcPr>
            <w:tcW w:w="2444" w:type="dxa"/>
            <w:shd w:val="clear" w:color="auto" w:fill="auto"/>
            <w:vAlign w:val="center"/>
          </w:tcPr>
          <w:p>
            <w:pPr>
              <w:spacing w:line="360" w:lineRule="auto"/>
              <w:jc w:val="center"/>
              <w:rPr>
                <w:rFonts w:hint="eastAsia" w:cs="Times New Roman"/>
                <w:sz w:val="21"/>
                <w:szCs w:val="21"/>
                <w:lang w:val="en-US" w:eastAsia="zh-CN"/>
              </w:rPr>
            </w:pPr>
            <w:r>
              <w:rPr>
                <w:rFonts w:hint="eastAsia" w:cs="Times New Roman"/>
                <w:sz w:val="21"/>
                <w:szCs w:val="21"/>
                <w:lang w:val="en-US" w:eastAsia="zh-CN"/>
              </w:rPr>
              <w:t>水位、水压检测器</w:t>
            </w:r>
          </w:p>
        </w:tc>
        <w:tc>
          <w:tcPr>
            <w:tcW w:w="1275"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p>
        </w:tc>
        <w:tc>
          <w:tcPr>
            <w:tcW w:w="720" w:type="dxa"/>
            <w:shd w:val="clear" w:color="auto" w:fill="auto"/>
            <w:vAlign w:val="center"/>
          </w:tcPr>
          <w:p>
            <w:pPr>
              <w:spacing w:line="360" w:lineRule="auto"/>
              <w:jc w:val="center"/>
              <w:rPr>
                <w:rFonts w:hint="default" w:cs="Times New Roman"/>
                <w:sz w:val="21"/>
                <w:szCs w:val="21"/>
                <w:lang w:val="en-US" w:eastAsia="zh-CN"/>
              </w:rPr>
            </w:pPr>
            <w:r>
              <w:rPr>
                <w:rFonts w:hint="eastAsia" w:cs="Times New Roman"/>
                <w:sz w:val="21"/>
                <w:szCs w:val="21"/>
                <w:lang w:val="en-US" w:eastAsia="zh-CN"/>
              </w:rPr>
              <w:t>套</w:t>
            </w:r>
          </w:p>
        </w:tc>
        <w:tc>
          <w:tcPr>
            <w:tcW w:w="1050" w:type="dxa"/>
            <w:shd w:val="clear" w:color="auto" w:fill="auto"/>
            <w:vAlign w:val="center"/>
          </w:tcPr>
          <w:p>
            <w:pPr>
              <w:spacing w:line="360" w:lineRule="auto"/>
              <w:jc w:val="center"/>
              <w:rPr>
                <w:rFonts w:hint="default" w:cs="Times New Roman"/>
                <w:sz w:val="21"/>
                <w:szCs w:val="21"/>
                <w:lang w:val="en-US" w:eastAsia="zh-CN"/>
              </w:rPr>
            </w:pPr>
            <w:r>
              <w:rPr>
                <w:rFonts w:hint="eastAsia" w:cs="Times New Roman"/>
                <w:sz w:val="21"/>
                <w:szCs w:val="21"/>
                <w:lang w:val="en-US" w:eastAsia="zh-CN"/>
              </w:rPr>
              <w:t>2</w:t>
            </w:r>
          </w:p>
        </w:tc>
        <w:tc>
          <w:tcPr>
            <w:tcW w:w="151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528" w:type="dxa"/>
            <w:shd w:val="clear" w:color="auto" w:fill="auto"/>
            <w:vAlign w:val="center"/>
          </w:tcPr>
          <w:p>
            <w:pPr>
              <w:spacing w:line="360" w:lineRule="auto"/>
              <w:jc w:val="center"/>
              <w:rPr>
                <w:rFonts w:hint="eastAsia" w:cs="Times New Roman"/>
                <w:sz w:val="21"/>
                <w:szCs w:val="21"/>
                <w:lang w:val="en-US" w:eastAsia="zh-CN"/>
              </w:rPr>
            </w:pPr>
            <w:r>
              <w:rPr>
                <w:rFonts w:hint="eastAsia" w:cs="Times New Roman"/>
                <w:sz w:val="21"/>
                <w:szCs w:val="21"/>
                <w:lang w:val="en-US" w:eastAsia="zh-CN"/>
              </w:rPr>
              <w:t>804-5-6</w:t>
            </w:r>
          </w:p>
        </w:tc>
        <w:tc>
          <w:tcPr>
            <w:tcW w:w="2444" w:type="dxa"/>
            <w:shd w:val="clear" w:color="auto" w:fill="auto"/>
            <w:vAlign w:val="center"/>
          </w:tcPr>
          <w:p>
            <w:pPr>
              <w:spacing w:line="360" w:lineRule="auto"/>
              <w:jc w:val="center"/>
              <w:rPr>
                <w:rFonts w:hint="eastAsia" w:cs="Times New Roman"/>
                <w:sz w:val="21"/>
                <w:szCs w:val="21"/>
                <w:lang w:val="en-US" w:eastAsia="zh-CN"/>
              </w:rPr>
            </w:pPr>
            <w:r>
              <w:rPr>
                <w:rFonts w:hint="eastAsia" w:cs="Times New Roman"/>
                <w:sz w:val="21"/>
                <w:szCs w:val="21"/>
                <w:lang w:val="en-US" w:eastAsia="zh-CN"/>
              </w:rPr>
              <w:t>智慧厕所主机</w:t>
            </w:r>
          </w:p>
        </w:tc>
        <w:tc>
          <w:tcPr>
            <w:tcW w:w="1275"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p>
        </w:tc>
        <w:tc>
          <w:tcPr>
            <w:tcW w:w="720" w:type="dxa"/>
            <w:shd w:val="clear" w:color="auto" w:fill="auto"/>
            <w:vAlign w:val="center"/>
          </w:tcPr>
          <w:p>
            <w:pPr>
              <w:spacing w:line="360" w:lineRule="auto"/>
              <w:jc w:val="center"/>
              <w:rPr>
                <w:rFonts w:hint="default" w:cs="Times New Roman"/>
                <w:sz w:val="21"/>
                <w:szCs w:val="21"/>
                <w:lang w:val="en-US" w:eastAsia="zh-CN"/>
              </w:rPr>
            </w:pPr>
            <w:r>
              <w:rPr>
                <w:rFonts w:hint="eastAsia" w:cs="Times New Roman"/>
                <w:sz w:val="21"/>
                <w:szCs w:val="21"/>
                <w:lang w:val="en-US" w:eastAsia="zh-CN"/>
              </w:rPr>
              <w:t>台</w:t>
            </w:r>
          </w:p>
        </w:tc>
        <w:tc>
          <w:tcPr>
            <w:tcW w:w="1050" w:type="dxa"/>
            <w:shd w:val="clear" w:color="auto" w:fill="auto"/>
            <w:vAlign w:val="center"/>
          </w:tcPr>
          <w:p>
            <w:pPr>
              <w:spacing w:line="360" w:lineRule="auto"/>
              <w:jc w:val="center"/>
              <w:rPr>
                <w:rFonts w:hint="default" w:cs="Times New Roman"/>
                <w:sz w:val="21"/>
                <w:szCs w:val="21"/>
                <w:lang w:val="en-US" w:eastAsia="zh-CN"/>
              </w:rPr>
            </w:pPr>
            <w:r>
              <w:rPr>
                <w:rFonts w:hint="eastAsia" w:cs="Times New Roman"/>
                <w:sz w:val="21"/>
                <w:szCs w:val="21"/>
                <w:lang w:val="en-US" w:eastAsia="zh-CN"/>
              </w:rPr>
              <w:t>2</w:t>
            </w:r>
          </w:p>
        </w:tc>
        <w:tc>
          <w:tcPr>
            <w:tcW w:w="151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528" w:type="dxa"/>
            <w:shd w:val="clear" w:color="auto" w:fill="auto"/>
            <w:vAlign w:val="center"/>
          </w:tcPr>
          <w:p>
            <w:pPr>
              <w:spacing w:line="360" w:lineRule="auto"/>
              <w:jc w:val="center"/>
              <w:rPr>
                <w:rFonts w:hint="eastAsia" w:cs="Times New Roman"/>
                <w:sz w:val="21"/>
                <w:szCs w:val="21"/>
                <w:lang w:val="en-US" w:eastAsia="zh-CN"/>
              </w:rPr>
            </w:pPr>
            <w:r>
              <w:rPr>
                <w:rFonts w:hint="eastAsia" w:cs="Times New Roman"/>
                <w:sz w:val="21"/>
                <w:szCs w:val="21"/>
                <w:lang w:val="en-US" w:eastAsia="zh-CN"/>
              </w:rPr>
              <w:t>804-5-7</w:t>
            </w:r>
          </w:p>
        </w:tc>
        <w:tc>
          <w:tcPr>
            <w:tcW w:w="2444" w:type="dxa"/>
            <w:shd w:val="clear" w:color="auto" w:fill="auto"/>
            <w:vAlign w:val="center"/>
          </w:tcPr>
          <w:p>
            <w:pPr>
              <w:spacing w:line="360" w:lineRule="auto"/>
              <w:jc w:val="center"/>
              <w:rPr>
                <w:rFonts w:hint="eastAsia" w:cs="Times New Roman"/>
                <w:sz w:val="21"/>
                <w:szCs w:val="21"/>
                <w:lang w:val="en-US" w:eastAsia="zh-CN"/>
              </w:rPr>
            </w:pPr>
            <w:r>
              <w:rPr>
                <w:rFonts w:hint="eastAsia" w:cs="Times New Roman"/>
                <w:sz w:val="21"/>
                <w:szCs w:val="21"/>
                <w:lang w:val="en-US" w:eastAsia="zh-CN"/>
              </w:rPr>
              <w:t>数据集中处理器（16路）</w:t>
            </w:r>
          </w:p>
        </w:tc>
        <w:tc>
          <w:tcPr>
            <w:tcW w:w="1275"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p>
        </w:tc>
        <w:tc>
          <w:tcPr>
            <w:tcW w:w="720" w:type="dxa"/>
            <w:shd w:val="clear" w:color="auto" w:fill="auto"/>
            <w:vAlign w:val="center"/>
          </w:tcPr>
          <w:p>
            <w:pPr>
              <w:spacing w:line="360" w:lineRule="auto"/>
              <w:jc w:val="center"/>
              <w:rPr>
                <w:rFonts w:hint="default" w:cs="Times New Roman"/>
                <w:sz w:val="21"/>
                <w:szCs w:val="21"/>
                <w:lang w:val="en-US" w:eastAsia="zh-CN"/>
              </w:rPr>
            </w:pPr>
            <w:r>
              <w:rPr>
                <w:rFonts w:hint="eastAsia" w:cs="Times New Roman"/>
                <w:sz w:val="21"/>
                <w:szCs w:val="21"/>
                <w:lang w:val="en-US" w:eastAsia="zh-CN"/>
              </w:rPr>
              <w:t>台</w:t>
            </w:r>
          </w:p>
        </w:tc>
        <w:tc>
          <w:tcPr>
            <w:tcW w:w="1050" w:type="dxa"/>
            <w:shd w:val="clear" w:color="auto" w:fill="auto"/>
            <w:vAlign w:val="center"/>
          </w:tcPr>
          <w:p>
            <w:pPr>
              <w:spacing w:line="360" w:lineRule="auto"/>
              <w:jc w:val="center"/>
              <w:rPr>
                <w:rFonts w:hint="default" w:cs="Times New Roman"/>
                <w:sz w:val="21"/>
                <w:szCs w:val="21"/>
                <w:lang w:val="en-US" w:eastAsia="zh-CN"/>
              </w:rPr>
            </w:pPr>
            <w:r>
              <w:rPr>
                <w:rFonts w:hint="eastAsia" w:cs="Times New Roman"/>
                <w:sz w:val="21"/>
                <w:szCs w:val="21"/>
                <w:lang w:val="en-US" w:eastAsia="zh-CN"/>
              </w:rPr>
              <w:t>8</w:t>
            </w:r>
          </w:p>
        </w:tc>
        <w:tc>
          <w:tcPr>
            <w:tcW w:w="151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528" w:type="dxa"/>
            <w:shd w:val="clear" w:color="auto" w:fill="auto"/>
            <w:vAlign w:val="center"/>
          </w:tcPr>
          <w:p>
            <w:pPr>
              <w:spacing w:line="360" w:lineRule="auto"/>
              <w:jc w:val="center"/>
              <w:rPr>
                <w:rFonts w:hint="eastAsia" w:cs="Times New Roman"/>
                <w:sz w:val="21"/>
                <w:szCs w:val="21"/>
                <w:lang w:val="en-US" w:eastAsia="zh-CN"/>
              </w:rPr>
            </w:pPr>
            <w:r>
              <w:rPr>
                <w:rFonts w:hint="eastAsia" w:cs="Times New Roman"/>
                <w:sz w:val="21"/>
                <w:szCs w:val="21"/>
                <w:lang w:val="en-US" w:eastAsia="zh-CN"/>
              </w:rPr>
              <w:t>804-5-8</w:t>
            </w:r>
          </w:p>
        </w:tc>
        <w:tc>
          <w:tcPr>
            <w:tcW w:w="2444" w:type="dxa"/>
            <w:shd w:val="clear" w:color="auto" w:fill="auto"/>
            <w:vAlign w:val="center"/>
          </w:tcPr>
          <w:p>
            <w:pPr>
              <w:spacing w:line="360" w:lineRule="auto"/>
              <w:jc w:val="center"/>
              <w:rPr>
                <w:rFonts w:hint="eastAsia" w:cs="Times New Roman"/>
                <w:sz w:val="21"/>
                <w:szCs w:val="21"/>
                <w:lang w:val="en-US" w:eastAsia="zh-CN"/>
              </w:rPr>
            </w:pPr>
            <w:r>
              <w:rPr>
                <w:rFonts w:hint="eastAsia" w:cs="Times New Roman"/>
                <w:sz w:val="21"/>
                <w:szCs w:val="21"/>
                <w:lang w:val="en-US" w:eastAsia="zh-CN"/>
              </w:rPr>
              <w:t>厕位状态指引屏</w:t>
            </w:r>
          </w:p>
        </w:tc>
        <w:tc>
          <w:tcPr>
            <w:tcW w:w="1275"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p>
        </w:tc>
        <w:tc>
          <w:tcPr>
            <w:tcW w:w="720" w:type="dxa"/>
            <w:shd w:val="clear" w:color="auto" w:fill="auto"/>
            <w:vAlign w:val="center"/>
          </w:tcPr>
          <w:p>
            <w:pPr>
              <w:spacing w:line="360" w:lineRule="auto"/>
              <w:jc w:val="center"/>
              <w:rPr>
                <w:rFonts w:hint="eastAsia" w:cs="Times New Roman"/>
                <w:sz w:val="21"/>
                <w:szCs w:val="21"/>
                <w:lang w:val="en-US" w:eastAsia="zh-CN"/>
              </w:rPr>
            </w:pPr>
            <w:r>
              <w:rPr>
                <w:rFonts w:hint="eastAsia" w:cs="Times New Roman"/>
                <w:sz w:val="21"/>
                <w:szCs w:val="21"/>
                <w:lang w:val="en-US" w:eastAsia="zh-CN"/>
              </w:rPr>
              <w:t>台</w:t>
            </w:r>
          </w:p>
        </w:tc>
        <w:tc>
          <w:tcPr>
            <w:tcW w:w="1050" w:type="dxa"/>
            <w:shd w:val="clear" w:color="auto" w:fill="auto"/>
            <w:vAlign w:val="center"/>
          </w:tcPr>
          <w:p>
            <w:pPr>
              <w:spacing w:line="360" w:lineRule="auto"/>
              <w:jc w:val="center"/>
              <w:rPr>
                <w:rFonts w:hint="default" w:cs="Times New Roman"/>
                <w:sz w:val="21"/>
                <w:szCs w:val="21"/>
                <w:lang w:val="en-US" w:eastAsia="zh-CN"/>
              </w:rPr>
            </w:pPr>
            <w:r>
              <w:rPr>
                <w:rFonts w:hint="eastAsia" w:cs="Times New Roman"/>
                <w:sz w:val="21"/>
                <w:szCs w:val="21"/>
                <w:lang w:val="en-US" w:eastAsia="zh-CN"/>
              </w:rPr>
              <w:t>4</w:t>
            </w:r>
          </w:p>
        </w:tc>
        <w:tc>
          <w:tcPr>
            <w:tcW w:w="151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528" w:type="dxa"/>
            <w:shd w:val="clear" w:color="auto" w:fill="auto"/>
            <w:vAlign w:val="center"/>
          </w:tcPr>
          <w:p>
            <w:pPr>
              <w:spacing w:line="360" w:lineRule="auto"/>
              <w:jc w:val="center"/>
              <w:rPr>
                <w:rFonts w:hint="eastAsia" w:cs="Times New Roman"/>
                <w:sz w:val="21"/>
                <w:szCs w:val="21"/>
                <w:lang w:val="en-US" w:eastAsia="zh-CN"/>
              </w:rPr>
            </w:pPr>
            <w:r>
              <w:rPr>
                <w:rFonts w:hint="eastAsia" w:cs="Times New Roman"/>
                <w:sz w:val="21"/>
                <w:szCs w:val="21"/>
                <w:lang w:val="en-US" w:eastAsia="zh-CN"/>
              </w:rPr>
              <w:t>804-5-9</w:t>
            </w:r>
          </w:p>
        </w:tc>
        <w:tc>
          <w:tcPr>
            <w:tcW w:w="2444" w:type="dxa"/>
            <w:shd w:val="clear" w:color="auto" w:fill="auto"/>
            <w:vAlign w:val="center"/>
          </w:tcPr>
          <w:p>
            <w:pPr>
              <w:spacing w:line="360" w:lineRule="auto"/>
              <w:jc w:val="center"/>
              <w:rPr>
                <w:rFonts w:hint="eastAsia" w:cs="Times New Roman"/>
                <w:sz w:val="21"/>
                <w:szCs w:val="21"/>
                <w:lang w:val="en-US" w:eastAsia="zh-CN"/>
              </w:rPr>
            </w:pPr>
            <w:r>
              <w:rPr>
                <w:rFonts w:hint="eastAsia" w:cs="Times New Roman"/>
                <w:sz w:val="21"/>
                <w:szCs w:val="21"/>
                <w:lang w:val="en-US" w:eastAsia="zh-CN"/>
              </w:rPr>
              <w:t>红绿灯总电源开关</w:t>
            </w:r>
          </w:p>
        </w:tc>
        <w:tc>
          <w:tcPr>
            <w:tcW w:w="1275"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p>
        </w:tc>
        <w:tc>
          <w:tcPr>
            <w:tcW w:w="720" w:type="dxa"/>
            <w:shd w:val="clear" w:color="auto" w:fill="auto"/>
            <w:vAlign w:val="center"/>
          </w:tcPr>
          <w:p>
            <w:pPr>
              <w:spacing w:line="360" w:lineRule="auto"/>
              <w:jc w:val="center"/>
              <w:rPr>
                <w:rFonts w:hint="eastAsia" w:cs="Times New Roman"/>
                <w:sz w:val="21"/>
                <w:szCs w:val="21"/>
                <w:lang w:val="en-US" w:eastAsia="zh-CN"/>
              </w:rPr>
            </w:pPr>
            <w:r>
              <w:rPr>
                <w:rFonts w:hint="eastAsia" w:cs="Times New Roman"/>
                <w:sz w:val="21"/>
                <w:szCs w:val="21"/>
                <w:lang w:val="en-US" w:eastAsia="zh-CN"/>
              </w:rPr>
              <w:t>个</w:t>
            </w:r>
          </w:p>
        </w:tc>
        <w:tc>
          <w:tcPr>
            <w:tcW w:w="1050" w:type="dxa"/>
            <w:shd w:val="clear" w:color="auto" w:fill="auto"/>
            <w:vAlign w:val="center"/>
          </w:tcPr>
          <w:p>
            <w:pPr>
              <w:spacing w:line="360" w:lineRule="auto"/>
              <w:jc w:val="center"/>
              <w:rPr>
                <w:rFonts w:hint="default" w:cs="Times New Roman"/>
                <w:sz w:val="21"/>
                <w:szCs w:val="21"/>
                <w:lang w:val="en-US" w:eastAsia="zh-CN"/>
              </w:rPr>
            </w:pPr>
            <w:r>
              <w:rPr>
                <w:rFonts w:hint="eastAsia" w:cs="Times New Roman"/>
                <w:sz w:val="21"/>
                <w:szCs w:val="21"/>
                <w:lang w:val="en-US" w:eastAsia="zh-CN"/>
              </w:rPr>
              <w:t>2</w:t>
            </w:r>
          </w:p>
        </w:tc>
        <w:tc>
          <w:tcPr>
            <w:tcW w:w="151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528" w:type="dxa"/>
            <w:shd w:val="clear" w:color="auto" w:fill="auto"/>
            <w:vAlign w:val="center"/>
          </w:tcPr>
          <w:p>
            <w:pPr>
              <w:spacing w:line="360" w:lineRule="auto"/>
              <w:jc w:val="center"/>
              <w:rPr>
                <w:rFonts w:hint="eastAsia" w:cs="Times New Roman"/>
                <w:sz w:val="21"/>
                <w:szCs w:val="21"/>
                <w:lang w:val="en-US" w:eastAsia="zh-CN"/>
              </w:rPr>
            </w:pPr>
            <w:r>
              <w:rPr>
                <w:rFonts w:hint="eastAsia" w:cs="Times New Roman"/>
                <w:sz w:val="21"/>
                <w:szCs w:val="21"/>
                <w:lang w:val="en-US" w:eastAsia="zh-CN"/>
              </w:rPr>
              <w:t>804-5-10</w:t>
            </w:r>
          </w:p>
        </w:tc>
        <w:tc>
          <w:tcPr>
            <w:tcW w:w="2444" w:type="dxa"/>
            <w:shd w:val="clear" w:color="auto" w:fill="auto"/>
            <w:vAlign w:val="center"/>
          </w:tcPr>
          <w:p>
            <w:pPr>
              <w:spacing w:line="360" w:lineRule="auto"/>
              <w:jc w:val="center"/>
              <w:rPr>
                <w:rFonts w:hint="eastAsia" w:cs="Times New Roman"/>
                <w:sz w:val="21"/>
                <w:szCs w:val="21"/>
                <w:lang w:val="en-US" w:eastAsia="zh-CN"/>
              </w:rPr>
            </w:pPr>
            <w:r>
              <w:rPr>
                <w:rFonts w:hint="eastAsia" w:cs="Times New Roman"/>
                <w:sz w:val="21"/>
                <w:szCs w:val="21"/>
                <w:lang w:val="en-US" w:eastAsia="zh-CN"/>
              </w:rPr>
              <w:t>设备机箱</w:t>
            </w:r>
          </w:p>
        </w:tc>
        <w:tc>
          <w:tcPr>
            <w:tcW w:w="1275"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p>
        </w:tc>
        <w:tc>
          <w:tcPr>
            <w:tcW w:w="720" w:type="dxa"/>
            <w:shd w:val="clear" w:color="auto" w:fill="auto"/>
            <w:vAlign w:val="center"/>
          </w:tcPr>
          <w:p>
            <w:pPr>
              <w:spacing w:line="360" w:lineRule="auto"/>
              <w:jc w:val="center"/>
              <w:rPr>
                <w:rFonts w:hint="default" w:cs="Times New Roman"/>
                <w:sz w:val="21"/>
                <w:szCs w:val="21"/>
                <w:lang w:val="en-US" w:eastAsia="zh-CN"/>
              </w:rPr>
            </w:pPr>
            <w:r>
              <w:rPr>
                <w:rFonts w:hint="eastAsia" w:cs="Times New Roman"/>
                <w:sz w:val="21"/>
                <w:szCs w:val="21"/>
                <w:lang w:val="en-US" w:eastAsia="zh-CN"/>
              </w:rPr>
              <w:t>套</w:t>
            </w:r>
          </w:p>
        </w:tc>
        <w:tc>
          <w:tcPr>
            <w:tcW w:w="1050" w:type="dxa"/>
            <w:shd w:val="clear" w:color="auto" w:fill="auto"/>
            <w:vAlign w:val="center"/>
          </w:tcPr>
          <w:p>
            <w:pPr>
              <w:spacing w:line="360" w:lineRule="auto"/>
              <w:jc w:val="center"/>
              <w:rPr>
                <w:rFonts w:hint="default" w:cs="Times New Roman"/>
                <w:sz w:val="21"/>
                <w:szCs w:val="21"/>
                <w:lang w:val="en-US" w:eastAsia="zh-CN"/>
              </w:rPr>
            </w:pPr>
            <w:r>
              <w:rPr>
                <w:rFonts w:hint="eastAsia" w:cs="Times New Roman"/>
                <w:sz w:val="21"/>
                <w:szCs w:val="21"/>
                <w:lang w:val="en-US" w:eastAsia="zh-CN"/>
              </w:rPr>
              <w:t>2</w:t>
            </w:r>
          </w:p>
        </w:tc>
        <w:tc>
          <w:tcPr>
            <w:tcW w:w="151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528" w:type="dxa"/>
            <w:shd w:val="clear" w:color="auto" w:fill="auto"/>
            <w:vAlign w:val="center"/>
          </w:tcPr>
          <w:p>
            <w:pPr>
              <w:spacing w:line="360" w:lineRule="auto"/>
              <w:jc w:val="center"/>
              <w:rPr>
                <w:rFonts w:hint="eastAsia" w:cs="Times New Roman"/>
                <w:sz w:val="21"/>
                <w:szCs w:val="21"/>
                <w:lang w:val="en-US" w:eastAsia="zh-CN"/>
              </w:rPr>
            </w:pPr>
            <w:r>
              <w:rPr>
                <w:rFonts w:hint="eastAsia" w:cs="Times New Roman"/>
                <w:sz w:val="21"/>
                <w:szCs w:val="21"/>
                <w:lang w:val="en-US" w:eastAsia="zh-CN"/>
              </w:rPr>
              <w:t>804-5-11</w:t>
            </w:r>
          </w:p>
        </w:tc>
        <w:tc>
          <w:tcPr>
            <w:tcW w:w="2444" w:type="dxa"/>
            <w:shd w:val="clear" w:color="auto" w:fill="auto"/>
            <w:vAlign w:val="center"/>
          </w:tcPr>
          <w:p>
            <w:pPr>
              <w:spacing w:line="360" w:lineRule="auto"/>
              <w:jc w:val="center"/>
              <w:rPr>
                <w:rFonts w:hint="eastAsia" w:cs="Times New Roman"/>
                <w:sz w:val="21"/>
                <w:szCs w:val="21"/>
                <w:lang w:val="en-US" w:eastAsia="zh-CN"/>
              </w:rPr>
            </w:pPr>
            <w:r>
              <w:rPr>
                <w:rFonts w:hint="eastAsia" w:cs="Times New Roman"/>
                <w:sz w:val="21"/>
                <w:szCs w:val="21"/>
                <w:lang w:val="en-US" w:eastAsia="zh-CN"/>
              </w:rPr>
              <w:t>配电箱</w:t>
            </w:r>
          </w:p>
        </w:tc>
        <w:tc>
          <w:tcPr>
            <w:tcW w:w="1275"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p>
        </w:tc>
        <w:tc>
          <w:tcPr>
            <w:tcW w:w="720" w:type="dxa"/>
            <w:shd w:val="clear" w:color="auto" w:fill="auto"/>
            <w:vAlign w:val="center"/>
          </w:tcPr>
          <w:p>
            <w:pPr>
              <w:spacing w:line="360" w:lineRule="auto"/>
              <w:jc w:val="center"/>
              <w:rPr>
                <w:rFonts w:hint="eastAsia" w:cs="Times New Roman"/>
                <w:sz w:val="21"/>
                <w:szCs w:val="21"/>
                <w:lang w:val="en-US" w:eastAsia="zh-CN"/>
              </w:rPr>
            </w:pPr>
            <w:r>
              <w:rPr>
                <w:rFonts w:hint="eastAsia" w:cs="Times New Roman"/>
                <w:sz w:val="21"/>
                <w:szCs w:val="21"/>
                <w:lang w:val="en-US" w:eastAsia="zh-CN"/>
              </w:rPr>
              <w:t>台</w:t>
            </w:r>
          </w:p>
        </w:tc>
        <w:tc>
          <w:tcPr>
            <w:tcW w:w="1050" w:type="dxa"/>
            <w:shd w:val="clear" w:color="auto" w:fill="auto"/>
            <w:vAlign w:val="center"/>
          </w:tcPr>
          <w:p>
            <w:pPr>
              <w:spacing w:line="360" w:lineRule="auto"/>
              <w:jc w:val="center"/>
              <w:rPr>
                <w:rFonts w:hint="default" w:cs="Times New Roman"/>
                <w:sz w:val="21"/>
                <w:szCs w:val="21"/>
                <w:lang w:val="en-US" w:eastAsia="zh-CN"/>
              </w:rPr>
            </w:pPr>
            <w:r>
              <w:rPr>
                <w:rFonts w:hint="eastAsia" w:cs="Times New Roman"/>
                <w:sz w:val="21"/>
                <w:szCs w:val="21"/>
                <w:lang w:val="en-US" w:eastAsia="zh-CN"/>
              </w:rPr>
              <w:t>2</w:t>
            </w:r>
          </w:p>
        </w:tc>
        <w:tc>
          <w:tcPr>
            <w:tcW w:w="151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528" w:type="dxa"/>
            <w:shd w:val="clear" w:color="auto" w:fill="auto"/>
            <w:vAlign w:val="center"/>
          </w:tcPr>
          <w:p>
            <w:pPr>
              <w:spacing w:line="360" w:lineRule="auto"/>
              <w:jc w:val="center"/>
              <w:rPr>
                <w:rFonts w:hint="eastAsia" w:cs="Times New Roman"/>
                <w:sz w:val="21"/>
                <w:szCs w:val="21"/>
                <w:lang w:val="en-US" w:eastAsia="zh-CN"/>
              </w:rPr>
            </w:pPr>
            <w:r>
              <w:rPr>
                <w:rFonts w:hint="eastAsia" w:cs="Times New Roman"/>
                <w:sz w:val="21"/>
                <w:szCs w:val="21"/>
                <w:lang w:val="en-US" w:eastAsia="zh-CN"/>
              </w:rPr>
              <w:t>804-5-12</w:t>
            </w:r>
          </w:p>
        </w:tc>
        <w:tc>
          <w:tcPr>
            <w:tcW w:w="2444" w:type="dxa"/>
            <w:shd w:val="clear" w:color="auto" w:fill="auto"/>
            <w:vAlign w:val="center"/>
          </w:tcPr>
          <w:p>
            <w:pPr>
              <w:spacing w:line="360" w:lineRule="auto"/>
              <w:jc w:val="center"/>
              <w:rPr>
                <w:rFonts w:hint="eastAsia" w:cs="Times New Roman"/>
                <w:sz w:val="21"/>
                <w:szCs w:val="21"/>
                <w:lang w:val="en-US" w:eastAsia="zh-CN"/>
              </w:rPr>
            </w:pPr>
            <w:r>
              <w:rPr>
                <w:rFonts w:hint="eastAsia" w:cs="Times New Roman"/>
                <w:sz w:val="21"/>
                <w:szCs w:val="21"/>
                <w:lang w:val="en-US" w:eastAsia="zh-CN"/>
              </w:rPr>
              <w:t>厕所信息接入</w:t>
            </w:r>
          </w:p>
        </w:tc>
        <w:tc>
          <w:tcPr>
            <w:tcW w:w="1275"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p>
        </w:tc>
        <w:tc>
          <w:tcPr>
            <w:tcW w:w="720" w:type="dxa"/>
            <w:shd w:val="clear" w:color="auto" w:fill="auto"/>
            <w:vAlign w:val="center"/>
          </w:tcPr>
          <w:p>
            <w:pPr>
              <w:spacing w:line="360" w:lineRule="auto"/>
              <w:jc w:val="center"/>
              <w:rPr>
                <w:rFonts w:hint="default" w:cs="Times New Roman"/>
                <w:sz w:val="21"/>
                <w:szCs w:val="21"/>
                <w:lang w:val="en-US" w:eastAsia="zh-CN"/>
              </w:rPr>
            </w:pPr>
            <w:r>
              <w:rPr>
                <w:rFonts w:hint="eastAsia" w:cs="Times New Roman"/>
                <w:sz w:val="21"/>
                <w:szCs w:val="21"/>
                <w:lang w:val="en-US" w:eastAsia="zh-CN"/>
              </w:rPr>
              <w:t>项</w:t>
            </w:r>
          </w:p>
        </w:tc>
        <w:tc>
          <w:tcPr>
            <w:tcW w:w="1050" w:type="dxa"/>
            <w:shd w:val="clear" w:color="auto" w:fill="auto"/>
            <w:vAlign w:val="center"/>
          </w:tcPr>
          <w:p>
            <w:pPr>
              <w:spacing w:line="360" w:lineRule="auto"/>
              <w:jc w:val="center"/>
              <w:rPr>
                <w:rFonts w:hint="default" w:cs="Times New Roman"/>
                <w:sz w:val="21"/>
                <w:szCs w:val="21"/>
                <w:lang w:val="en-US" w:eastAsia="zh-CN"/>
              </w:rPr>
            </w:pPr>
            <w:r>
              <w:rPr>
                <w:rFonts w:hint="eastAsia" w:cs="Times New Roman"/>
                <w:sz w:val="21"/>
                <w:szCs w:val="21"/>
                <w:lang w:val="en-US" w:eastAsia="zh-CN"/>
              </w:rPr>
              <w:t>1</w:t>
            </w:r>
          </w:p>
        </w:tc>
        <w:tc>
          <w:tcPr>
            <w:tcW w:w="151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528" w:type="dxa"/>
            <w:shd w:val="clear" w:color="auto" w:fill="auto"/>
            <w:vAlign w:val="center"/>
          </w:tcPr>
          <w:p>
            <w:pPr>
              <w:spacing w:line="360" w:lineRule="auto"/>
              <w:jc w:val="center"/>
              <w:rPr>
                <w:rFonts w:hint="eastAsia" w:cs="Times New Roman"/>
                <w:sz w:val="21"/>
                <w:szCs w:val="21"/>
                <w:lang w:val="en-US" w:eastAsia="zh-CN"/>
              </w:rPr>
            </w:pPr>
            <w:r>
              <w:rPr>
                <w:rFonts w:hint="eastAsia" w:cs="Times New Roman"/>
                <w:sz w:val="21"/>
                <w:szCs w:val="21"/>
                <w:lang w:val="en-US" w:eastAsia="zh-CN"/>
              </w:rPr>
              <w:t>804-5-13</w:t>
            </w:r>
          </w:p>
        </w:tc>
        <w:tc>
          <w:tcPr>
            <w:tcW w:w="2444" w:type="dxa"/>
            <w:shd w:val="clear" w:color="auto" w:fill="auto"/>
            <w:vAlign w:val="center"/>
          </w:tcPr>
          <w:p>
            <w:pPr>
              <w:spacing w:line="360" w:lineRule="auto"/>
              <w:jc w:val="center"/>
              <w:rPr>
                <w:rFonts w:hint="eastAsia" w:cs="Times New Roman"/>
                <w:sz w:val="21"/>
                <w:szCs w:val="21"/>
                <w:lang w:val="en-US" w:eastAsia="zh-CN"/>
              </w:rPr>
            </w:pPr>
            <w:r>
              <w:rPr>
                <w:rFonts w:hint="eastAsia" w:cs="Times New Roman"/>
                <w:sz w:val="21"/>
                <w:szCs w:val="21"/>
                <w:lang w:val="en-US" w:eastAsia="zh-CN"/>
              </w:rPr>
              <w:t>电池阀DN30（带底盒）</w:t>
            </w:r>
          </w:p>
        </w:tc>
        <w:tc>
          <w:tcPr>
            <w:tcW w:w="1275"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p>
        </w:tc>
        <w:tc>
          <w:tcPr>
            <w:tcW w:w="720" w:type="dxa"/>
            <w:shd w:val="clear" w:color="auto" w:fill="auto"/>
            <w:vAlign w:val="center"/>
          </w:tcPr>
          <w:p>
            <w:pPr>
              <w:spacing w:line="360" w:lineRule="auto"/>
              <w:jc w:val="center"/>
              <w:rPr>
                <w:rFonts w:hint="default" w:cs="Times New Roman"/>
                <w:sz w:val="21"/>
                <w:szCs w:val="21"/>
                <w:lang w:val="en-US" w:eastAsia="zh-CN"/>
              </w:rPr>
            </w:pPr>
            <w:r>
              <w:rPr>
                <w:rFonts w:hint="eastAsia" w:cs="Times New Roman"/>
                <w:sz w:val="21"/>
                <w:szCs w:val="21"/>
                <w:lang w:val="en-US" w:eastAsia="zh-CN"/>
              </w:rPr>
              <w:t>个</w:t>
            </w:r>
          </w:p>
        </w:tc>
        <w:tc>
          <w:tcPr>
            <w:tcW w:w="1050" w:type="dxa"/>
            <w:shd w:val="clear" w:color="auto" w:fill="auto"/>
            <w:vAlign w:val="center"/>
          </w:tcPr>
          <w:p>
            <w:pPr>
              <w:spacing w:line="360" w:lineRule="auto"/>
              <w:jc w:val="center"/>
              <w:rPr>
                <w:rFonts w:hint="default" w:cs="Times New Roman"/>
                <w:sz w:val="21"/>
                <w:szCs w:val="21"/>
                <w:lang w:val="en-US" w:eastAsia="zh-CN"/>
              </w:rPr>
            </w:pPr>
            <w:r>
              <w:rPr>
                <w:rFonts w:hint="eastAsia" w:cs="Times New Roman"/>
                <w:sz w:val="21"/>
                <w:szCs w:val="21"/>
                <w:lang w:val="en-US" w:eastAsia="zh-CN"/>
              </w:rPr>
              <w:t>176</w:t>
            </w:r>
          </w:p>
        </w:tc>
        <w:tc>
          <w:tcPr>
            <w:tcW w:w="151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528" w:type="dxa"/>
            <w:shd w:val="clear" w:color="auto" w:fill="auto"/>
            <w:vAlign w:val="center"/>
          </w:tcPr>
          <w:p>
            <w:pPr>
              <w:spacing w:line="360" w:lineRule="auto"/>
              <w:jc w:val="center"/>
              <w:rPr>
                <w:rFonts w:hint="eastAsia" w:cs="Times New Roman"/>
                <w:sz w:val="21"/>
                <w:szCs w:val="21"/>
                <w:lang w:val="en-US" w:eastAsia="zh-CN"/>
              </w:rPr>
            </w:pPr>
            <w:r>
              <w:rPr>
                <w:rFonts w:hint="eastAsia" w:cs="Times New Roman"/>
                <w:sz w:val="21"/>
                <w:szCs w:val="21"/>
                <w:lang w:val="en-US" w:eastAsia="zh-CN"/>
              </w:rPr>
              <w:t>804-5-14</w:t>
            </w:r>
          </w:p>
        </w:tc>
        <w:tc>
          <w:tcPr>
            <w:tcW w:w="2444" w:type="dxa"/>
            <w:shd w:val="clear" w:color="auto" w:fill="auto"/>
            <w:vAlign w:val="center"/>
          </w:tcPr>
          <w:p>
            <w:pPr>
              <w:spacing w:line="360" w:lineRule="auto"/>
              <w:jc w:val="center"/>
              <w:rPr>
                <w:rFonts w:hint="eastAsia" w:cs="Times New Roman"/>
                <w:sz w:val="21"/>
                <w:szCs w:val="21"/>
                <w:lang w:val="en-US" w:eastAsia="zh-CN"/>
              </w:rPr>
            </w:pPr>
            <w:r>
              <w:rPr>
                <w:rFonts w:hint="eastAsia" w:cs="Times New Roman"/>
                <w:sz w:val="21"/>
                <w:szCs w:val="21"/>
                <w:lang w:val="en-US" w:eastAsia="zh-CN"/>
              </w:rPr>
              <w:t>电池阀DN25（带底盒）</w:t>
            </w:r>
          </w:p>
        </w:tc>
        <w:tc>
          <w:tcPr>
            <w:tcW w:w="1275"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p>
        </w:tc>
        <w:tc>
          <w:tcPr>
            <w:tcW w:w="720" w:type="dxa"/>
            <w:shd w:val="clear" w:color="auto" w:fill="auto"/>
            <w:vAlign w:val="center"/>
          </w:tcPr>
          <w:p>
            <w:pPr>
              <w:spacing w:line="360" w:lineRule="auto"/>
              <w:jc w:val="center"/>
              <w:rPr>
                <w:rFonts w:hint="default" w:cs="Times New Roman"/>
                <w:sz w:val="21"/>
                <w:szCs w:val="21"/>
                <w:lang w:val="en-US" w:eastAsia="zh-CN"/>
              </w:rPr>
            </w:pPr>
            <w:r>
              <w:rPr>
                <w:rFonts w:hint="eastAsia" w:cs="Times New Roman"/>
                <w:sz w:val="21"/>
                <w:szCs w:val="21"/>
                <w:lang w:val="en-US" w:eastAsia="zh-CN"/>
              </w:rPr>
              <w:t>个</w:t>
            </w:r>
          </w:p>
        </w:tc>
        <w:tc>
          <w:tcPr>
            <w:tcW w:w="1050" w:type="dxa"/>
            <w:shd w:val="clear" w:color="auto" w:fill="auto"/>
            <w:vAlign w:val="center"/>
          </w:tcPr>
          <w:p>
            <w:pPr>
              <w:spacing w:line="360" w:lineRule="auto"/>
              <w:jc w:val="center"/>
              <w:rPr>
                <w:rFonts w:hint="default" w:cs="Times New Roman"/>
                <w:sz w:val="21"/>
                <w:szCs w:val="21"/>
                <w:lang w:val="en-US" w:eastAsia="zh-CN"/>
              </w:rPr>
            </w:pPr>
            <w:r>
              <w:rPr>
                <w:rFonts w:hint="eastAsia" w:cs="Times New Roman"/>
                <w:sz w:val="21"/>
                <w:szCs w:val="21"/>
                <w:lang w:val="en-US" w:eastAsia="zh-CN"/>
              </w:rPr>
              <w:t>30</w:t>
            </w:r>
          </w:p>
        </w:tc>
        <w:tc>
          <w:tcPr>
            <w:tcW w:w="151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r>
    </w:tbl>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清单说明：</w:t>
      </w:r>
    </w:p>
    <w:p>
      <w:pPr>
        <w:numPr>
          <w:ilvl w:val="0"/>
          <w:numId w:val="3"/>
        </w:numPr>
        <w:wordWrap w:val="0"/>
        <w:topLinePunct/>
        <w:spacing w:line="360" w:lineRule="auto"/>
        <w:ind w:firstLine="566" w:firstLineChars="236"/>
        <w:rPr>
          <w:rFonts w:hint="default" w:ascii="Times New Roman" w:hAnsi="Times New Roman" w:eastAsia="宋体" w:cs="Times New Roman"/>
          <w:sz w:val="24"/>
          <w:szCs w:val="24"/>
        </w:rPr>
      </w:pPr>
      <w:r>
        <w:rPr>
          <w:rFonts w:hint="eastAsia" w:cs="Times New Roman"/>
          <w:bCs/>
          <w:snapToGrid w:val="0"/>
          <w:kern w:val="0"/>
          <w:sz w:val="24"/>
          <w:szCs w:val="24"/>
          <w:lang w:val="en-US" w:eastAsia="zh-CN"/>
        </w:rPr>
        <w:t xml:space="preserve"> </w:t>
      </w:r>
      <w:r>
        <w:rPr>
          <w:rFonts w:hint="default" w:ascii="Times New Roman" w:hAnsi="Times New Roman" w:eastAsia="宋体" w:cs="Times New Roman"/>
          <w:bCs/>
          <w:snapToGrid w:val="0"/>
          <w:kern w:val="0"/>
          <w:sz w:val="24"/>
          <w:szCs w:val="24"/>
        </w:rPr>
        <w:t>包括运输、</w:t>
      </w:r>
      <w:r>
        <w:rPr>
          <w:rFonts w:hint="eastAsia" w:cs="Times New Roman"/>
          <w:bCs/>
          <w:snapToGrid w:val="0"/>
          <w:kern w:val="0"/>
          <w:sz w:val="24"/>
          <w:szCs w:val="24"/>
          <w:lang w:val="en-US" w:eastAsia="zh-CN"/>
        </w:rPr>
        <w:t>安装、</w:t>
      </w:r>
      <w:r>
        <w:rPr>
          <w:rFonts w:hint="default" w:ascii="Times New Roman" w:hAnsi="Times New Roman" w:eastAsia="宋体" w:cs="Times New Roman"/>
          <w:bCs/>
          <w:snapToGrid w:val="0"/>
          <w:kern w:val="0"/>
          <w:sz w:val="24"/>
          <w:szCs w:val="24"/>
        </w:rPr>
        <w:t>保险费、税费、试运行及缺陷的维护等一切费用；</w:t>
      </w:r>
    </w:p>
    <w:p>
      <w:pPr>
        <w:pStyle w:val="7"/>
        <w:numPr>
          <w:ilvl w:val="0"/>
          <w:numId w:val="3"/>
        </w:numPr>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最高限价：</w:t>
      </w:r>
      <w:r>
        <w:rPr>
          <w:rFonts w:hint="eastAsia" w:cs="Times New Roman"/>
          <w:bCs/>
          <w:snapToGrid w:val="0"/>
          <w:kern w:val="0"/>
          <w:sz w:val="24"/>
          <w:szCs w:val="24"/>
          <w:lang w:val="en-US" w:eastAsia="zh-CN"/>
        </w:rPr>
        <w:t>250596.00</w:t>
      </w:r>
      <w:r>
        <w:rPr>
          <w:rFonts w:hint="default" w:ascii="Times New Roman" w:hAnsi="Times New Roman" w:eastAsia="宋体" w:cs="Times New Roman"/>
          <w:bCs/>
          <w:snapToGrid w:val="0"/>
          <w:kern w:val="0"/>
          <w:sz w:val="24"/>
          <w:szCs w:val="24"/>
        </w:rPr>
        <w:t>元。</w:t>
      </w:r>
    </w:p>
    <w:p>
      <w:pPr>
        <w:numPr>
          <w:ilvl w:val="0"/>
          <w:numId w:val="0"/>
        </w:numPr>
        <w:topLinePunct/>
        <w:spacing w:line="360" w:lineRule="auto"/>
        <w:outlineLvl w:val="1"/>
        <w:rPr>
          <w:rFonts w:hint="eastAsia" w:asciiTheme="majorEastAsia" w:hAnsiTheme="majorEastAsia" w:eastAsiaTheme="majorEastAsia" w:cstheme="majorEastAsia"/>
          <w:b/>
          <w:bCs/>
          <w:kern w:val="2"/>
          <w:sz w:val="24"/>
          <w:szCs w:val="24"/>
          <w:lang w:val="en-US" w:eastAsia="zh-CN" w:bidi="ar-SA"/>
        </w:rPr>
      </w:pPr>
      <w:r>
        <w:rPr>
          <w:rFonts w:hint="eastAsia" w:cs="Times New Roman"/>
          <w:b/>
          <w:bCs/>
          <w:kern w:val="2"/>
          <w:sz w:val="21"/>
          <w:szCs w:val="24"/>
          <w:lang w:val="en-US" w:eastAsia="zh-CN" w:bidi="ar-SA"/>
        </w:rPr>
        <w:t>3.</w:t>
      </w:r>
      <w:r>
        <w:rPr>
          <w:rFonts w:hint="eastAsia" w:asciiTheme="majorEastAsia" w:hAnsiTheme="majorEastAsia" w:eastAsiaTheme="majorEastAsia" w:cstheme="majorEastAsia"/>
          <w:b/>
          <w:bCs/>
          <w:kern w:val="2"/>
          <w:sz w:val="24"/>
          <w:szCs w:val="24"/>
          <w:lang w:val="en-US" w:eastAsia="zh-CN" w:bidi="ar-SA"/>
        </w:rPr>
        <w:t>技术参数</w:t>
      </w:r>
    </w:p>
    <w:p>
      <w:pPr>
        <w:pStyle w:val="7"/>
        <w:numPr>
          <w:numId w:val="0"/>
        </w:numPr>
        <w:ind w:firstLine="480" w:firstLineChars="200"/>
        <w:rPr>
          <w:rFonts w:hint="eastAsia" w:cs="Times New Roman"/>
          <w:sz w:val="21"/>
          <w:szCs w:val="21"/>
          <w:lang w:val="en-US" w:eastAsia="zh-CN"/>
        </w:rPr>
      </w:pPr>
      <w:r>
        <w:rPr>
          <w:rFonts w:hint="eastAsia" w:cs="Times New Roman"/>
          <w:bCs/>
          <w:snapToGrid w:val="0"/>
          <w:kern w:val="0"/>
          <w:sz w:val="24"/>
          <w:szCs w:val="24"/>
          <w:lang w:val="en-US" w:eastAsia="zh-CN"/>
        </w:rPr>
        <w:t>（1）</w:t>
      </w:r>
      <w:r>
        <w:rPr>
          <w:rFonts w:hint="eastAsia" w:cs="Times New Roman"/>
          <w:sz w:val="21"/>
          <w:szCs w:val="21"/>
          <w:lang w:val="en-US" w:eastAsia="zh-CN"/>
        </w:rPr>
        <w:t>蹲位红外探测器</w:t>
      </w:r>
    </w:p>
    <w:p>
      <w:pPr>
        <w:pStyle w:val="7"/>
        <w:numPr>
          <w:numId w:val="0"/>
        </w:numPr>
        <w:ind w:firstLine="840" w:firstLineChars="400"/>
        <w:rPr>
          <w:rFonts w:hint="default" w:cs="Times New Roman"/>
          <w:sz w:val="21"/>
          <w:szCs w:val="21"/>
          <w:lang w:val="en-US" w:eastAsia="zh-CN"/>
        </w:rPr>
      </w:pPr>
      <w:r>
        <w:rPr>
          <w:rFonts w:hint="default" w:cs="Times New Roman"/>
          <w:sz w:val="21"/>
          <w:szCs w:val="21"/>
          <w:lang w:val="en-US" w:eastAsia="zh-CN"/>
        </w:rPr>
        <w:t>探测距离：0－2 米；</w:t>
      </w:r>
    </w:p>
    <w:p>
      <w:pPr>
        <w:pStyle w:val="7"/>
        <w:numPr>
          <w:numId w:val="0"/>
        </w:numPr>
        <w:ind w:firstLine="420" w:firstLineChars="200"/>
        <w:rPr>
          <w:rFonts w:hint="default" w:cs="Times New Roman"/>
          <w:sz w:val="21"/>
          <w:szCs w:val="21"/>
          <w:lang w:val="en-US" w:eastAsia="zh-CN"/>
        </w:rPr>
      </w:pPr>
      <w:r>
        <w:rPr>
          <w:rFonts w:hint="default" w:cs="Times New Roman"/>
          <w:sz w:val="21"/>
          <w:szCs w:val="21"/>
          <w:lang w:val="en-US" w:eastAsia="zh-CN"/>
        </w:rPr>
        <w:t> 信号输出：开关量；</w:t>
      </w:r>
    </w:p>
    <w:p>
      <w:pPr>
        <w:pStyle w:val="7"/>
        <w:numPr>
          <w:numId w:val="0"/>
        </w:numPr>
        <w:ind w:firstLine="420" w:firstLineChars="200"/>
        <w:rPr>
          <w:rFonts w:hint="default" w:cs="Times New Roman"/>
          <w:sz w:val="21"/>
          <w:szCs w:val="21"/>
          <w:lang w:val="en-US" w:eastAsia="zh-CN"/>
        </w:rPr>
      </w:pPr>
      <w:r>
        <w:rPr>
          <w:rFonts w:hint="default" w:cs="Times New Roman"/>
          <w:sz w:val="21"/>
          <w:szCs w:val="21"/>
          <w:lang w:val="en-US" w:eastAsia="zh-CN"/>
        </w:rPr>
        <w:t> 触发输出时间：0.5 秒；</w:t>
      </w:r>
    </w:p>
    <w:p>
      <w:pPr>
        <w:pStyle w:val="7"/>
        <w:numPr>
          <w:numId w:val="0"/>
        </w:numPr>
        <w:ind w:firstLine="420" w:firstLineChars="200"/>
        <w:rPr>
          <w:rFonts w:hint="default" w:cs="Times New Roman"/>
          <w:sz w:val="21"/>
          <w:szCs w:val="21"/>
          <w:lang w:val="en-US" w:eastAsia="zh-CN"/>
        </w:rPr>
      </w:pPr>
      <w:r>
        <w:rPr>
          <w:rFonts w:hint="default" w:cs="Times New Roman"/>
          <w:sz w:val="21"/>
          <w:szCs w:val="21"/>
          <w:lang w:val="en-US" w:eastAsia="zh-CN"/>
        </w:rPr>
        <w:t> 灵敏度：连续可调 ；</w:t>
      </w:r>
    </w:p>
    <w:p>
      <w:pPr>
        <w:pStyle w:val="7"/>
        <w:numPr>
          <w:numId w:val="0"/>
        </w:numPr>
        <w:ind w:firstLine="420" w:firstLineChars="200"/>
        <w:rPr>
          <w:rFonts w:hint="default" w:cs="Times New Roman"/>
          <w:sz w:val="21"/>
          <w:szCs w:val="21"/>
          <w:lang w:val="en-US" w:eastAsia="zh-CN"/>
        </w:rPr>
      </w:pPr>
      <w:r>
        <w:rPr>
          <w:rFonts w:hint="default" w:cs="Times New Roman"/>
          <w:sz w:val="21"/>
          <w:szCs w:val="21"/>
          <w:lang w:val="en-US" w:eastAsia="zh-CN"/>
        </w:rPr>
        <w:t> 探测方式：红外；</w:t>
      </w:r>
    </w:p>
    <w:p>
      <w:pPr>
        <w:pStyle w:val="7"/>
        <w:numPr>
          <w:numId w:val="0"/>
        </w:numPr>
        <w:ind w:firstLine="420" w:firstLineChars="200"/>
        <w:rPr>
          <w:rFonts w:hint="default" w:cs="Times New Roman"/>
          <w:sz w:val="21"/>
          <w:szCs w:val="21"/>
          <w:lang w:val="en-US" w:eastAsia="zh-CN"/>
        </w:rPr>
      </w:pPr>
      <w:r>
        <w:rPr>
          <w:rFonts w:hint="default" w:cs="Times New Roman"/>
          <w:sz w:val="21"/>
          <w:szCs w:val="21"/>
          <w:lang w:val="en-US" w:eastAsia="zh-CN"/>
        </w:rPr>
        <w:t> 信号线缆：RVSP 4*0.5；</w:t>
      </w:r>
    </w:p>
    <w:p>
      <w:pPr>
        <w:pStyle w:val="7"/>
        <w:numPr>
          <w:numId w:val="0"/>
        </w:numPr>
        <w:ind w:firstLine="420" w:firstLineChars="200"/>
        <w:rPr>
          <w:rFonts w:hint="default" w:cs="Times New Roman"/>
          <w:sz w:val="21"/>
          <w:szCs w:val="21"/>
          <w:lang w:val="en-US" w:eastAsia="zh-CN"/>
        </w:rPr>
      </w:pPr>
      <w:r>
        <w:rPr>
          <w:rFonts w:hint="default" w:cs="Times New Roman"/>
          <w:sz w:val="21"/>
          <w:szCs w:val="21"/>
          <w:lang w:val="en-US" w:eastAsia="zh-CN"/>
        </w:rPr>
        <w:t> 工作电压：12VDC；</w:t>
      </w:r>
    </w:p>
    <w:p>
      <w:pPr>
        <w:pStyle w:val="7"/>
        <w:numPr>
          <w:numId w:val="0"/>
        </w:numPr>
        <w:ind w:firstLine="420" w:firstLineChars="200"/>
        <w:rPr>
          <w:rFonts w:hint="default" w:cs="Times New Roman"/>
          <w:sz w:val="21"/>
          <w:szCs w:val="21"/>
          <w:lang w:val="en-US" w:eastAsia="zh-CN"/>
        </w:rPr>
      </w:pPr>
      <w:r>
        <w:rPr>
          <w:rFonts w:hint="default" w:cs="Times New Roman"/>
          <w:sz w:val="21"/>
          <w:szCs w:val="21"/>
          <w:lang w:val="en-US" w:eastAsia="zh-CN"/>
        </w:rPr>
        <w:t> 驱动电流：30mA；</w:t>
      </w:r>
    </w:p>
    <w:p>
      <w:pPr>
        <w:pStyle w:val="7"/>
        <w:numPr>
          <w:numId w:val="0"/>
        </w:numPr>
        <w:ind w:firstLine="420" w:firstLineChars="200"/>
        <w:rPr>
          <w:rFonts w:hint="default" w:cs="Times New Roman"/>
          <w:sz w:val="21"/>
          <w:szCs w:val="21"/>
          <w:lang w:val="en-US" w:eastAsia="zh-CN"/>
        </w:rPr>
      </w:pPr>
      <w:r>
        <w:rPr>
          <w:rFonts w:hint="default" w:cs="Times New Roman"/>
          <w:sz w:val="21"/>
          <w:szCs w:val="21"/>
          <w:lang w:val="en-US" w:eastAsia="zh-CN"/>
        </w:rPr>
        <w:t> 外壳采用防水设计，即使水冲、水淋，设备也能操持正常状态检测</w:t>
      </w:r>
    </w:p>
    <w:p>
      <w:pPr>
        <w:pStyle w:val="7"/>
        <w:numPr>
          <w:numId w:val="0"/>
        </w:numPr>
        <w:ind w:firstLine="420" w:firstLineChars="200"/>
        <w:rPr>
          <w:rFonts w:hint="eastAsia" w:cs="Times New Roman"/>
          <w:sz w:val="21"/>
          <w:szCs w:val="21"/>
          <w:lang w:val="en-US" w:eastAsia="zh-CN"/>
        </w:rPr>
      </w:pPr>
      <w:r>
        <w:rPr>
          <w:rFonts w:hint="eastAsia" w:cs="Times New Roman"/>
          <w:sz w:val="21"/>
          <w:szCs w:val="21"/>
          <w:lang w:val="en-US" w:eastAsia="zh-CN"/>
        </w:rPr>
        <w:t>（2）空气质量传感器</w:t>
      </w:r>
    </w:p>
    <w:p>
      <w:pPr>
        <w:pStyle w:val="7"/>
        <w:numPr>
          <w:numId w:val="0"/>
        </w:numPr>
        <w:ind w:leftChars="236"/>
        <w:rPr>
          <w:rFonts w:hint="default" w:cs="Times New Roman"/>
          <w:sz w:val="21"/>
          <w:szCs w:val="21"/>
          <w:lang w:val="en-US" w:eastAsia="zh-CN"/>
        </w:rPr>
      </w:pPr>
      <w:r>
        <w:rPr>
          <w:rFonts w:hint="default" w:cs="Times New Roman"/>
          <w:sz w:val="21"/>
          <w:szCs w:val="21"/>
          <w:lang w:val="en-US" w:eastAsia="zh-CN"/>
        </w:rPr>
        <w:t>一体式智慧公厕环境空气质量检测传感器，内部集成32位处理器，高速处理各种气</w:t>
      </w:r>
      <w:r>
        <w:rPr>
          <w:rFonts w:hint="eastAsia" w:cs="Times New Roman"/>
          <w:sz w:val="21"/>
          <w:szCs w:val="21"/>
          <w:lang w:val="en-US" w:eastAsia="zh-CN"/>
        </w:rPr>
        <w:t>体</w:t>
      </w:r>
      <w:r>
        <w:rPr>
          <w:rFonts w:hint="default" w:cs="Times New Roman"/>
          <w:sz w:val="21"/>
          <w:szCs w:val="21"/>
          <w:lang w:val="en-US" w:eastAsia="zh-CN"/>
        </w:rPr>
        <w:t>及环境检测；集成温度、湿度、氨气、硫化氢、PM2.5数据检测；供电电压：7~26VDC；最大功耗：500mA@12V，带液晶（0802）；通信接口：RS485；通信协议：MODBUS RTU；通信速率： 软件设置，2400、4800、9600、19200、38400、115200等，默认9600bps；数据格式：默认8N1（1位起始位、8位数据位、1位停止位、无校验）；设备地址：1~253，软件设定。</w:t>
      </w:r>
    </w:p>
    <w:p>
      <w:pPr>
        <w:pStyle w:val="7"/>
        <w:numPr>
          <w:ilvl w:val="0"/>
          <w:numId w:val="3"/>
        </w:numPr>
        <w:ind w:left="0" w:leftChars="0" w:firstLine="495" w:firstLineChars="236"/>
        <w:rPr>
          <w:rFonts w:hint="eastAsia" w:cs="Times New Roman"/>
          <w:sz w:val="21"/>
          <w:szCs w:val="21"/>
          <w:lang w:val="en-US" w:eastAsia="zh-CN"/>
        </w:rPr>
      </w:pPr>
      <w:r>
        <w:rPr>
          <w:rFonts w:hint="eastAsia" w:cs="Times New Roman"/>
          <w:sz w:val="21"/>
          <w:szCs w:val="21"/>
          <w:lang w:val="en-US" w:eastAsia="zh-CN"/>
        </w:rPr>
        <w:t>智慧厕所主机</w:t>
      </w:r>
    </w:p>
    <w:p>
      <w:pPr>
        <w:pStyle w:val="7"/>
        <w:numPr>
          <w:numId w:val="0"/>
        </w:numPr>
        <w:ind w:leftChars="236"/>
        <w:rPr>
          <w:rFonts w:hint="default" w:cs="Times New Roman"/>
          <w:sz w:val="21"/>
          <w:szCs w:val="21"/>
          <w:lang w:val="en-US" w:eastAsia="zh-CN"/>
        </w:rPr>
      </w:pPr>
      <w:r>
        <w:rPr>
          <w:rFonts w:hint="default" w:cs="Times New Roman"/>
          <w:sz w:val="21"/>
          <w:szCs w:val="21"/>
          <w:lang w:val="en-US" w:eastAsia="zh-CN"/>
        </w:rPr>
        <w:t>输入通道：4路开关量输入；输出通道：2路常开继电器输出；隔离电压保护：1500V；无线通道：全网通多模4G；视频接口：HDMI2.0；通讯协议：MODBUS-RTU；接口类型：隔离RS485通讯，输出接口采用过压过流双保护；安装方式：配电箱内安装；供电方式：DC5V，3A。</w:t>
      </w:r>
    </w:p>
    <w:p>
      <w:pPr>
        <w:pStyle w:val="7"/>
        <w:numPr>
          <w:ilvl w:val="0"/>
          <w:numId w:val="3"/>
        </w:numPr>
        <w:ind w:left="0" w:leftChars="0" w:firstLine="495" w:firstLineChars="236"/>
        <w:rPr>
          <w:rFonts w:hint="eastAsia" w:cs="Times New Roman"/>
          <w:sz w:val="21"/>
          <w:szCs w:val="21"/>
          <w:lang w:val="en-US" w:eastAsia="zh-CN"/>
        </w:rPr>
      </w:pPr>
      <w:r>
        <w:rPr>
          <w:rFonts w:hint="eastAsia" w:cs="Times New Roman"/>
          <w:sz w:val="21"/>
          <w:szCs w:val="21"/>
          <w:lang w:val="en-US" w:eastAsia="zh-CN"/>
        </w:rPr>
        <w:t>厕位状态指引屏</w:t>
      </w:r>
    </w:p>
    <w:p>
      <w:pPr>
        <w:pStyle w:val="7"/>
        <w:numPr>
          <w:numId w:val="0"/>
        </w:numPr>
        <w:ind w:leftChars="236"/>
        <w:rPr>
          <w:rFonts w:hint="default" w:cs="Times New Roman"/>
          <w:sz w:val="21"/>
          <w:szCs w:val="21"/>
          <w:lang w:val="en-US" w:eastAsia="zh-CN"/>
        </w:rPr>
      </w:pPr>
      <w:r>
        <w:rPr>
          <w:rFonts w:hint="default" w:cs="Times New Roman"/>
          <w:sz w:val="21"/>
          <w:szCs w:val="21"/>
          <w:lang w:val="en-US" w:eastAsia="zh-CN"/>
        </w:rPr>
        <w:t>55寸液晶电视；屏幕比例：16:9；分辨率：≥1920 x 1080；亮度：≥500cd/m2；对比度：≥4000:1；可视角：≥178°；响应时间：≤8ms；视频制式:PAL/NTFS;视频输入接口:支持1Vp-p,752,BNCX2，1路S-video输入，1路VGA输入，1路HDMI；输入，1路DVI输入，VGA、HDMI和DVI接口支持1920×1080(60Hz)向下兼容；机壳材质：防静电、防磁场、防强电场干扰；通讯接口：RS232或RJ45；采用LED直下式背光源，平均无故障时间大于5万小时；显示屏具有防潮、防尘、防腐蚀、防电磁干扰、防静电等功能，并具有过流、短路、过压、欠压保护和防静电的功能。度：≥178°；响应时间：≤8ms；</w:t>
      </w:r>
    </w:p>
    <w:p>
      <w:pPr>
        <w:pStyle w:val="7"/>
        <w:numPr>
          <w:ilvl w:val="0"/>
          <w:numId w:val="3"/>
        </w:numPr>
        <w:ind w:left="0" w:leftChars="0" w:firstLine="495" w:firstLineChars="236"/>
        <w:rPr>
          <w:rFonts w:hint="eastAsia" w:cs="Times New Roman"/>
          <w:sz w:val="21"/>
          <w:szCs w:val="21"/>
          <w:lang w:val="en-US" w:eastAsia="zh-CN"/>
        </w:rPr>
      </w:pPr>
      <w:r>
        <w:rPr>
          <w:rFonts w:hint="eastAsia" w:cs="Times New Roman"/>
          <w:sz w:val="21"/>
          <w:szCs w:val="21"/>
          <w:lang w:val="en-US" w:eastAsia="zh-CN"/>
        </w:rPr>
        <w:t>厕所信息接入</w:t>
      </w:r>
    </w:p>
    <w:p>
      <w:pPr>
        <w:pStyle w:val="7"/>
        <w:numPr>
          <w:numId w:val="0"/>
        </w:numPr>
        <w:ind w:leftChars="236"/>
        <w:rPr>
          <w:rFonts w:hint="default" w:cs="Times New Roman"/>
          <w:sz w:val="21"/>
          <w:szCs w:val="21"/>
          <w:lang w:val="en-US" w:eastAsia="zh-CN"/>
        </w:rPr>
      </w:pPr>
      <w:r>
        <w:rPr>
          <w:rFonts w:hint="default" w:cs="Times New Roman"/>
          <w:sz w:val="21"/>
          <w:szCs w:val="21"/>
          <w:lang w:val="en-US" w:eastAsia="zh-CN"/>
        </w:rPr>
        <w:t>结合国家对公路服务区“厕所革命”的建设思路，可在地图上，接入公厕传感器的实时数据，对实时余位情况进行展示，方便如厕人员尽快找到空余位置，提升卫生间的使用效率。高峰时段统筹相邻服务区资源，引导公众合理分流。含三年维护。</w:t>
      </w:r>
    </w:p>
    <w:p>
      <w:pPr>
        <w:numPr>
          <w:ilvl w:val="0"/>
          <w:numId w:val="0"/>
        </w:numPr>
        <w:topLinePunct/>
        <w:spacing w:line="360" w:lineRule="auto"/>
        <w:outlineLvl w:val="1"/>
        <w:rPr>
          <w:rFonts w:hint="default"/>
        </w:rPr>
      </w:pPr>
      <w:r>
        <w:rPr>
          <w:rFonts w:hint="eastAsia" w:cs="Times New Roman"/>
          <w:b/>
          <w:bCs/>
          <w:kern w:val="2"/>
          <w:sz w:val="21"/>
          <w:szCs w:val="24"/>
          <w:lang w:val="en-US" w:eastAsia="zh-CN" w:bidi="ar-SA"/>
        </w:rPr>
        <w:t>4</w:t>
      </w:r>
      <w:r>
        <w:rPr>
          <w:rFonts w:hint="default" w:ascii="Times New Roman" w:hAnsi="Times New Roman" w:eastAsia="宋体" w:cs="Times New Roman"/>
          <w:b/>
          <w:bCs/>
          <w:kern w:val="2"/>
          <w:sz w:val="21"/>
          <w:szCs w:val="24"/>
          <w:lang w:val="en-US" w:eastAsia="zh-CN" w:bidi="ar-SA"/>
        </w:rPr>
        <w:t>.</w:t>
      </w:r>
      <w:r>
        <w:rPr>
          <w:rFonts w:hint="default" w:ascii="Times New Roman" w:hAnsi="Times New Roman" w:eastAsia="宋体" w:cs="Times New Roman"/>
          <w:b/>
          <w:snapToGrid w:val="0"/>
          <w:kern w:val="0"/>
          <w:sz w:val="24"/>
          <w:szCs w:val="24"/>
        </w:rPr>
        <w:t>供应商资格条件</w:t>
      </w:r>
    </w:p>
    <w:p>
      <w:pPr>
        <w:pStyle w:val="7"/>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信用信誉良好，所供设备符合本工程量清单设备技术要求。</w:t>
      </w:r>
    </w:p>
    <w:p>
      <w:pPr>
        <w:numPr>
          <w:ilvl w:val="0"/>
          <w:numId w:val="0"/>
        </w:numPr>
        <w:topLinePunct/>
        <w:spacing w:line="360" w:lineRule="auto"/>
        <w:outlineLvl w:val="1"/>
        <w:rPr>
          <w:rFonts w:hint="default" w:ascii="Times New Roman" w:hAnsi="Times New Roman" w:eastAsia="宋体" w:cs="Times New Roman"/>
          <w:b/>
          <w:snapToGrid w:val="0"/>
          <w:kern w:val="0"/>
          <w:sz w:val="24"/>
          <w:szCs w:val="24"/>
        </w:rPr>
      </w:pPr>
      <w:r>
        <w:rPr>
          <w:rFonts w:hint="eastAsia" w:cs="Times New Roman"/>
          <w:b/>
          <w:snapToGrid w:val="0"/>
          <w:kern w:val="0"/>
          <w:sz w:val="24"/>
          <w:szCs w:val="24"/>
          <w:lang w:val="en-US" w:eastAsia="zh-CN" w:bidi="ar-SA"/>
        </w:rPr>
        <w:t>5</w:t>
      </w:r>
      <w:r>
        <w:rPr>
          <w:rFonts w:hint="default" w:ascii="Times New Roman" w:hAnsi="Times New Roman" w:eastAsia="宋体" w:cs="Times New Roman"/>
          <w:b/>
          <w:snapToGrid w:val="0"/>
          <w:kern w:val="0"/>
          <w:sz w:val="24"/>
          <w:szCs w:val="24"/>
          <w:lang w:val="en-US" w:eastAsia="zh-CN" w:bidi="ar-SA"/>
        </w:rPr>
        <w:t>.</w:t>
      </w:r>
      <w:r>
        <w:rPr>
          <w:rFonts w:hint="default" w:ascii="Times New Roman" w:hAnsi="Times New Roman" w:eastAsia="宋体" w:cs="Times New Roman"/>
          <w:b/>
          <w:snapToGrid w:val="0"/>
          <w:kern w:val="0"/>
          <w:sz w:val="24"/>
          <w:szCs w:val="24"/>
        </w:rPr>
        <w:t>响应回执的递交</w:t>
      </w:r>
    </w:p>
    <w:p>
      <w:pPr>
        <w:spacing w:line="360" w:lineRule="auto"/>
        <w:ind w:firstLine="480" w:firstLineChars="200"/>
        <w:rPr>
          <w:rFonts w:hint="default" w:ascii="Times New Roman" w:hAnsi="Times New Roman" w:eastAsia="宋体" w:cs="Times New Roman"/>
          <w:snapToGrid w:val="0"/>
          <w:color w:val="000000"/>
          <w:kern w:val="0"/>
          <w:sz w:val="24"/>
          <w:szCs w:val="24"/>
        </w:rPr>
      </w:pPr>
      <w:r>
        <w:rPr>
          <w:rFonts w:hint="default" w:ascii="Times New Roman" w:hAnsi="Times New Roman" w:eastAsia="宋体" w:cs="Times New Roman"/>
          <w:sz w:val="24"/>
          <w:szCs w:val="24"/>
        </w:rPr>
        <w:t>凡有意参加本次采购且具备履行本项目能力的供应商，请</w:t>
      </w:r>
      <w:r>
        <w:rPr>
          <w:rFonts w:hint="default" w:ascii="Times New Roman" w:hAnsi="Times New Roman" w:eastAsia="宋体" w:cs="Times New Roman"/>
          <w:color w:val="000000"/>
          <w:sz w:val="24"/>
          <w:szCs w:val="24"/>
        </w:rPr>
        <w:t>将附于本公告后的响应回执在</w:t>
      </w:r>
      <w:r>
        <w:rPr>
          <w:rFonts w:hint="default" w:ascii="Times New Roman" w:hAnsi="Times New Roman" w:eastAsia="宋体" w:cs="Times New Roman"/>
          <w:color w:val="000000"/>
          <w:sz w:val="24"/>
          <w:szCs w:val="24"/>
          <w:u w:val="single"/>
        </w:rPr>
        <w:t>202</w:t>
      </w:r>
      <w:r>
        <w:rPr>
          <w:rFonts w:hint="eastAsia" w:cs="Times New Roman"/>
          <w:color w:val="000000"/>
          <w:sz w:val="24"/>
          <w:szCs w:val="24"/>
          <w:u w:val="single"/>
          <w:lang w:val="en-US" w:eastAsia="zh-CN"/>
        </w:rPr>
        <w:t>4</w:t>
      </w:r>
      <w:r>
        <w:rPr>
          <w:rFonts w:hint="default" w:ascii="Times New Roman" w:hAnsi="Times New Roman" w:eastAsia="宋体" w:cs="Times New Roman"/>
          <w:color w:val="000000"/>
          <w:sz w:val="24"/>
          <w:szCs w:val="24"/>
          <w:u w:val="single"/>
        </w:rPr>
        <w:t>年</w:t>
      </w:r>
      <w:r>
        <w:rPr>
          <w:rFonts w:hint="eastAsia" w:cs="Times New Roman"/>
          <w:color w:val="000000"/>
          <w:sz w:val="24"/>
          <w:szCs w:val="24"/>
          <w:u w:val="single"/>
          <w:lang w:val="en-US" w:eastAsia="zh-CN"/>
        </w:rPr>
        <w:t>3</w:t>
      </w:r>
      <w:r>
        <w:rPr>
          <w:rFonts w:hint="default" w:ascii="Times New Roman" w:hAnsi="Times New Roman" w:eastAsia="宋体" w:cs="Times New Roman"/>
          <w:color w:val="000000"/>
          <w:sz w:val="24"/>
          <w:szCs w:val="24"/>
          <w:u w:val="single"/>
        </w:rPr>
        <w:t>月</w:t>
      </w:r>
      <w:r>
        <w:rPr>
          <w:rFonts w:hint="eastAsia" w:cs="Times New Roman"/>
          <w:color w:val="000000"/>
          <w:sz w:val="24"/>
          <w:szCs w:val="24"/>
          <w:u w:val="single"/>
          <w:lang w:val="en-US" w:eastAsia="zh-CN"/>
        </w:rPr>
        <w:t>15</w:t>
      </w:r>
      <w:r>
        <w:rPr>
          <w:rFonts w:hint="default" w:ascii="Times New Roman" w:hAnsi="Times New Roman" w:eastAsia="宋体" w:cs="Times New Roman"/>
          <w:color w:val="000000"/>
          <w:sz w:val="24"/>
          <w:szCs w:val="24"/>
          <w:u w:val="single"/>
        </w:rPr>
        <w:t>日</w:t>
      </w:r>
      <w:r>
        <w:rPr>
          <w:rFonts w:hint="eastAsia" w:cs="Times New Roman"/>
          <w:color w:val="000000"/>
          <w:sz w:val="24"/>
          <w:szCs w:val="24"/>
          <w:u w:val="single"/>
          <w:lang w:val="en-US" w:eastAsia="zh-CN"/>
        </w:rPr>
        <w:t>17</w:t>
      </w:r>
      <w:r>
        <w:rPr>
          <w:rFonts w:hint="default" w:ascii="Times New Roman" w:hAnsi="Times New Roman" w:eastAsia="宋体" w:cs="Times New Roman"/>
          <w:color w:val="000000"/>
          <w:sz w:val="24"/>
          <w:szCs w:val="24"/>
          <w:u w:val="single"/>
        </w:rPr>
        <w:t>：00</w:t>
      </w:r>
      <w:r>
        <w:rPr>
          <w:rFonts w:hint="default" w:ascii="Times New Roman" w:hAnsi="Times New Roman" w:eastAsia="宋体" w:cs="Times New Roman"/>
          <w:color w:val="000000"/>
          <w:sz w:val="24"/>
          <w:szCs w:val="24"/>
        </w:rPr>
        <w:t>之前发送至采购人邮箱：</w:t>
      </w:r>
      <w:r>
        <w:rPr>
          <w:rFonts w:hint="eastAsia" w:cs="Times New Roman"/>
          <w:color w:val="000000"/>
          <w:sz w:val="24"/>
          <w:szCs w:val="24"/>
          <w:lang w:val="en-US" w:eastAsia="zh-CN"/>
        </w:rPr>
        <w:t>18221532652@163</w:t>
      </w:r>
      <w:r>
        <w:rPr>
          <w:rFonts w:hint="default" w:ascii="Times New Roman" w:hAnsi="Times New Roman" w:eastAsia="宋体" w:cs="Times New Roman"/>
          <w:snapToGrid w:val="0"/>
          <w:color w:val="000000"/>
          <w:kern w:val="0"/>
          <w:sz w:val="24"/>
          <w:szCs w:val="24"/>
        </w:rPr>
        <w:t>.com，逾期无效。采购人在收到响应回执后根据供应商信用信誉等情况进行讨论提议，不再另行发布采购公告。</w:t>
      </w:r>
    </w:p>
    <w:p>
      <w:pPr>
        <w:numPr>
          <w:ilvl w:val="0"/>
          <w:numId w:val="0"/>
        </w:numPr>
        <w:topLinePunct/>
        <w:spacing w:line="360" w:lineRule="auto"/>
        <w:outlineLvl w:val="1"/>
        <w:rPr>
          <w:rFonts w:hint="default" w:ascii="Times New Roman" w:hAnsi="Times New Roman" w:eastAsia="宋体" w:cs="Times New Roman"/>
          <w:b/>
          <w:snapToGrid w:val="0"/>
          <w:kern w:val="0"/>
          <w:sz w:val="24"/>
          <w:szCs w:val="24"/>
        </w:rPr>
      </w:pPr>
      <w:bookmarkStart w:id="0" w:name="_Toc332793891"/>
      <w:bookmarkStart w:id="1" w:name="_Toc332965960"/>
      <w:bookmarkStart w:id="2" w:name="_Toc332793818"/>
      <w:r>
        <w:rPr>
          <w:rFonts w:hint="eastAsia" w:cs="Times New Roman"/>
          <w:b/>
          <w:snapToGrid w:val="0"/>
          <w:kern w:val="0"/>
          <w:sz w:val="24"/>
          <w:szCs w:val="24"/>
          <w:lang w:val="en-US" w:eastAsia="zh-CN" w:bidi="ar-SA"/>
        </w:rPr>
        <w:t>6</w:t>
      </w:r>
      <w:bookmarkStart w:id="3" w:name="_GoBack"/>
      <w:bookmarkEnd w:id="3"/>
      <w:r>
        <w:rPr>
          <w:rFonts w:hint="default" w:ascii="Times New Roman" w:hAnsi="Times New Roman" w:eastAsia="宋体" w:cs="Times New Roman"/>
          <w:b/>
          <w:snapToGrid w:val="0"/>
          <w:kern w:val="0"/>
          <w:sz w:val="24"/>
          <w:szCs w:val="24"/>
          <w:lang w:val="en-US" w:eastAsia="zh-CN" w:bidi="ar-SA"/>
        </w:rPr>
        <w:t>.</w:t>
      </w:r>
      <w:r>
        <w:rPr>
          <w:rFonts w:hint="default" w:ascii="Times New Roman" w:hAnsi="Times New Roman" w:eastAsia="宋体" w:cs="Times New Roman"/>
          <w:b/>
          <w:snapToGrid w:val="0"/>
          <w:kern w:val="0"/>
          <w:sz w:val="24"/>
          <w:szCs w:val="24"/>
        </w:rPr>
        <w:t>联系方式</w:t>
      </w:r>
      <w:bookmarkEnd w:id="0"/>
      <w:bookmarkEnd w:id="1"/>
      <w:bookmarkEnd w:id="2"/>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采购人：广东诚泰交通科技发展有限公司</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采购人地址：广州市番禺区洛浦街道北环路87号道路研究院</w:t>
      </w:r>
      <w:r>
        <w:rPr>
          <w:rFonts w:hint="default" w:ascii="Times New Roman" w:hAnsi="Times New Roman" w:eastAsia="宋体" w:cs="Times New Roman"/>
          <w:color w:val="000000"/>
          <w:sz w:val="24"/>
          <w:szCs w:val="24"/>
          <w:lang w:val="en-US" w:eastAsia="zh-CN"/>
        </w:rPr>
        <w:t>有限公司</w:t>
      </w:r>
      <w:r>
        <w:rPr>
          <w:rFonts w:hint="default" w:ascii="Times New Roman" w:hAnsi="Times New Roman" w:eastAsia="宋体" w:cs="Times New Roman"/>
          <w:color w:val="000000"/>
          <w:sz w:val="24"/>
          <w:szCs w:val="24"/>
        </w:rPr>
        <w:t>二号楼</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联  系  人：</w:t>
      </w:r>
      <w:r>
        <w:rPr>
          <w:rFonts w:hint="eastAsia" w:cs="Times New Roman"/>
          <w:color w:val="000000"/>
          <w:sz w:val="24"/>
          <w:szCs w:val="24"/>
          <w:lang w:eastAsia="zh-CN"/>
        </w:rPr>
        <w:t>张</w:t>
      </w:r>
      <w:r>
        <w:rPr>
          <w:rFonts w:hint="default" w:ascii="Times New Roman" w:hAnsi="Times New Roman" w:eastAsia="宋体" w:cs="Times New Roman"/>
          <w:color w:val="000000"/>
          <w:sz w:val="24"/>
          <w:szCs w:val="24"/>
        </w:rPr>
        <w:t>工</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电      话：020-39185740</w:t>
      </w:r>
    </w:p>
    <w:p>
      <w:pPr>
        <w:topLinePunct/>
        <w:spacing w:line="360" w:lineRule="auto"/>
        <w:jc w:val="righ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广东诚泰交通科技发展有限公司</w:t>
      </w:r>
    </w:p>
    <w:p>
      <w:pPr>
        <w:topLinePunct/>
        <w:spacing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color w:val="000000"/>
          <w:sz w:val="24"/>
          <w:szCs w:val="24"/>
        </w:rPr>
        <w:t xml:space="preserve">                                              202</w:t>
      </w:r>
      <w:r>
        <w:rPr>
          <w:rFonts w:hint="eastAsia" w:cs="Times New Roman"/>
          <w:color w:val="000000"/>
          <w:sz w:val="24"/>
          <w:szCs w:val="24"/>
          <w:lang w:val="en-US" w:eastAsia="zh-CN"/>
        </w:rPr>
        <w:t>4</w:t>
      </w:r>
      <w:r>
        <w:rPr>
          <w:rFonts w:hint="default" w:ascii="Times New Roman" w:hAnsi="Times New Roman" w:eastAsia="宋体" w:cs="Times New Roman"/>
          <w:color w:val="000000"/>
          <w:sz w:val="24"/>
          <w:szCs w:val="24"/>
        </w:rPr>
        <w:t>年</w:t>
      </w:r>
      <w:r>
        <w:rPr>
          <w:rFonts w:hint="eastAsia" w:cs="Times New Roman"/>
          <w:color w:val="000000"/>
          <w:sz w:val="24"/>
          <w:szCs w:val="24"/>
          <w:lang w:val="en-US" w:eastAsia="zh-CN"/>
        </w:rPr>
        <w:t>3</w:t>
      </w:r>
      <w:r>
        <w:rPr>
          <w:rFonts w:hint="default" w:ascii="Times New Roman" w:hAnsi="Times New Roman" w:eastAsia="宋体" w:cs="Times New Roman"/>
          <w:color w:val="000000"/>
          <w:sz w:val="24"/>
          <w:szCs w:val="24"/>
        </w:rPr>
        <w:t>月</w:t>
      </w:r>
      <w:r>
        <w:rPr>
          <w:rFonts w:hint="eastAsia" w:cs="Times New Roman"/>
          <w:color w:val="000000"/>
          <w:sz w:val="24"/>
          <w:szCs w:val="24"/>
          <w:lang w:val="en-US" w:eastAsia="zh-CN"/>
        </w:rPr>
        <w:t>13</w:t>
      </w:r>
      <w:r>
        <w:rPr>
          <w:rFonts w:hint="default" w:ascii="Times New Roman" w:hAnsi="Times New Roman" w:eastAsia="宋体" w:cs="Times New Roman"/>
          <w:color w:val="000000"/>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Book Antiqua">
    <w:altName w:val="Segoe Print"/>
    <w:panose1 w:val="02040602050305030304"/>
    <w:charset w:val="00"/>
    <w:family w:val="roman"/>
    <w:pitch w:val="default"/>
    <w:sig w:usb0="00000000" w:usb1="000000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C06D5F"/>
    <w:multiLevelType w:val="singleLevel"/>
    <w:tmpl w:val="CEC06D5F"/>
    <w:lvl w:ilvl="0" w:tentative="0">
      <w:start w:val="1"/>
      <w:numFmt w:val="decimal"/>
      <w:suff w:val="nothing"/>
      <w:lvlText w:val="（%1）"/>
      <w:lvlJc w:val="left"/>
    </w:lvl>
  </w:abstractNum>
  <w:abstractNum w:abstractNumId="1">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3"/>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4"/>
      <w:suff w:val="nothing"/>
      <w:lvlText w:val="%1.%2.%3 "/>
      <w:lvlJc w:val="left"/>
      <w:pPr>
        <w:ind w:left="142" w:firstLine="0"/>
      </w:pPr>
    </w:lvl>
    <w:lvl w:ilvl="3" w:tentative="0">
      <w:start w:val="1"/>
      <w:numFmt w:val="decimal"/>
      <w:lvlRestart w:val="1"/>
      <w:pStyle w:val="5"/>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6"/>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6"/>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30"/>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6"/>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7"/>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2">
    <w:nsid w:val="6E230785"/>
    <w:multiLevelType w:val="multilevel"/>
    <w:tmpl w:val="6E230785"/>
    <w:lvl w:ilvl="0" w:tentative="0">
      <w:start w:val="1"/>
      <w:numFmt w:val="bullet"/>
      <w:pStyle w:val="35"/>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2"/>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3"/>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4"/>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9"/>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1"/>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7"/>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8"/>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WZhYTRhYzgzMGM3MjY1YjczZGE3ZGNhYWNmMWUyMWUifQ=="/>
  </w:docVars>
  <w:rsids>
    <w:rsidRoot w:val="00172A27"/>
    <w:rsid w:val="00123FE3"/>
    <w:rsid w:val="001301C5"/>
    <w:rsid w:val="00172A27"/>
    <w:rsid w:val="00477707"/>
    <w:rsid w:val="005603E4"/>
    <w:rsid w:val="00791D96"/>
    <w:rsid w:val="009A3C9A"/>
    <w:rsid w:val="00C424AD"/>
    <w:rsid w:val="00CC1A2E"/>
    <w:rsid w:val="00ED32E4"/>
    <w:rsid w:val="00EE2011"/>
    <w:rsid w:val="00FA736A"/>
    <w:rsid w:val="00FC4153"/>
    <w:rsid w:val="00FD7ED5"/>
    <w:rsid w:val="012D66CB"/>
    <w:rsid w:val="014D3BDD"/>
    <w:rsid w:val="02040FDF"/>
    <w:rsid w:val="02083795"/>
    <w:rsid w:val="02BE3126"/>
    <w:rsid w:val="03393105"/>
    <w:rsid w:val="03563CB7"/>
    <w:rsid w:val="046B1D8B"/>
    <w:rsid w:val="046E3765"/>
    <w:rsid w:val="05D76CA1"/>
    <w:rsid w:val="05FC2DA4"/>
    <w:rsid w:val="06622CB2"/>
    <w:rsid w:val="06A411DD"/>
    <w:rsid w:val="072D08E0"/>
    <w:rsid w:val="083A6841"/>
    <w:rsid w:val="08CF1E16"/>
    <w:rsid w:val="08EE3671"/>
    <w:rsid w:val="09117B80"/>
    <w:rsid w:val="09293C1C"/>
    <w:rsid w:val="092A167C"/>
    <w:rsid w:val="0A310FDA"/>
    <w:rsid w:val="0A634ED8"/>
    <w:rsid w:val="0A69025B"/>
    <w:rsid w:val="0AB539B9"/>
    <w:rsid w:val="0B867103"/>
    <w:rsid w:val="0C397098"/>
    <w:rsid w:val="0DA26991"/>
    <w:rsid w:val="0ECB4993"/>
    <w:rsid w:val="112A7044"/>
    <w:rsid w:val="123D1FC9"/>
    <w:rsid w:val="12ED5CBA"/>
    <w:rsid w:val="140B63F8"/>
    <w:rsid w:val="142F0FB1"/>
    <w:rsid w:val="14C447F8"/>
    <w:rsid w:val="156452D7"/>
    <w:rsid w:val="15983E83"/>
    <w:rsid w:val="176F6C9D"/>
    <w:rsid w:val="17936E30"/>
    <w:rsid w:val="185145F5"/>
    <w:rsid w:val="18606150"/>
    <w:rsid w:val="18E02F28"/>
    <w:rsid w:val="19B32EC3"/>
    <w:rsid w:val="19EC0A79"/>
    <w:rsid w:val="1A786886"/>
    <w:rsid w:val="1C654B13"/>
    <w:rsid w:val="1CC7757C"/>
    <w:rsid w:val="1D5379E4"/>
    <w:rsid w:val="1DC008E5"/>
    <w:rsid w:val="1DD86320"/>
    <w:rsid w:val="1EFF5193"/>
    <w:rsid w:val="1F3E25C9"/>
    <w:rsid w:val="1F8905C9"/>
    <w:rsid w:val="1F9A0F77"/>
    <w:rsid w:val="1FEF3071"/>
    <w:rsid w:val="200B1411"/>
    <w:rsid w:val="20205D7D"/>
    <w:rsid w:val="2031368A"/>
    <w:rsid w:val="2039362C"/>
    <w:rsid w:val="21DE7DE2"/>
    <w:rsid w:val="23A93537"/>
    <w:rsid w:val="24875F4B"/>
    <w:rsid w:val="24C4701D"/>
    <w:rsid w:val="25D6438C"/>
    <w:rsid w:val="25E92311"/>
    <w:rsid w:val="26445799"/>
    <w:rsid w:val="28126A09"/>
    <w:rsid w:val="29325D7D"/>
    <w:rsid w:val="29B42C36"/>
    <w:rsid w:val="2A6117E0"/>
    <w:rsid w:val="2A8940C2"/>
    <w:rsid w:val="2A9C2048"/>
    <w:rsid w:val="2B5411B0"/>
    <w:rsid w:val="2B975488"/>
    <w:rsid w:val="2BB05A29"/>
    <w:rsid w:val="2BBE1469"/>
    <w:rsid w:val="2CDE1CDD"/>
    <w:rsid w:val="2D393A69"/>
    <w:rsid w:val="2E0860D1"/>
    <w:rsid w:val="2E402CEA"/>
    <w:rsid w:val="2E5A20BA"/>
    <w:rsid w:val="2ECB5FE2"/>
    <w:rsid w:val="31F44517"/>
    <w:rsid w:val="32D613E9"/>
    <w:rsid w:val="337322A8"/>
    <w:rsid w:val="33923E93"/>
    <w:rsid w:val="33D53A32"/>
    <w:rsid w:val="34403FA4"/>
    <w:rsid w:val="34DB5F68"/>
    <w:rsid w:val="35912415"/>
    <w:rsid w:val="371778DF"/>
    <w:rsid w:val="37E62326"/>
    <w:rsid w:val="38A511DA"/>
    <w:rsid w:val="3A1B67E7"/>
    <w:rsid w:val="3A7D6982"/>
    <w:rsid w:val="3C047712"/>
    <w:rsid w:val="3C996FEB"/>
    <w:rsid w:val="3CCC5DA0"/>
    <w:rsid w:val="3CD77495"/>
    <w:rsid w:val="3D4445A5"/>
    <w:rsid w:val="3DC27043"/>
    <w:rsid w:val="3DD1395F"/>
    <w:rsid w:val="3DD51301"/>
    <w:rsid w:val="3E8C010F"/>
    <w:rsid w:val="3EFD65C9"/>
    <w:rsid w:val="400E2C48"/>
    <w:rsid w:val="403A795B"/>
    <w:rsid w:val="4044389B"/>
    <w:rsid w:val="40C03B09"/>
    <w:rsid w:val="42100EF9"/>
    <w:rsid w:val="42925DB2"/>
    <w:rsid w:val="42D40179"/>
    <w:rsid w:val="434B112E"/>
    <w:rsid w:val="443D1A3B"/>
    <w:rsid w:val="4504286C"/>
    <w:rsid w:val="456E60CE"/>
    <w:rsid w:val="46C97C03"/>
    <w:rsid w:val="471A188F"/>
    <w:rsid w:val="472B5FAC"/>
    <w:rsid w:val="48AD79E8"/>
    <w:rsid w:val="48F03340"/>
    <w:rsid w:val="49032DD0"/>
    <w:rsid w:val="4908486B"/>
    <w:rsid w:val="49B06B1E"/>
    <w:rsid w:val="49DC5C4D"/>
    <w:rsid w:val="4A44006F"/>
    <w:rsid w:val="4B3450B1"/>
    <w:rsid w:val="4BFB311F"/>
    <w:rsid w:val="4C7148A9"/>
    <w:rsid w:val="4D41787A"/>
    <w:rsid w:val="4DA31AFF"/>
    <w:rsid w:val="4DB34E2F"/>
    <w:rsid w:val="4DB87F36"/>
    <w:rsid w:val="50DE6FEF"/>
    <w:rsid w:val="513444D8"/>
    <w:rsid w:val="515756D7"/>
    <w:rsid w:val="52871060"/>
    <w:rsid w:val="52ED4007"/>
    <w:rsid w:val="54210D44"/>
    <w:rsid w:val="54227B28"/>
    <w:rsid w:val="55A27C63"/>
    <w:rsid w:val="55A710AE"/>
    <w:rsid w:val="55B35218"/>
    <w:rsid w:val="560F1B9D"/>
    <w:rsid w:val="576320A6"/>
    <w:rsid w:val="57BF2D4E"/>
    <w:rsid w:val="58B74CBC"/>
    <w:rsid w:val="598A3C77"/>
    <w:rsid w:val="5B2814D9"/>
    <w:rsid w:val="5D4D1D73"/>
    <w:rsid w:val="5D972077"/>
    <w:rsid w:val="5E8E770E"/>
    <w:rsid w:val="623B7383"/>
    <w:rsid w:val="63166D1A"/>
    <w:rsid w:val="65922BE0"/>
    <w:rsid w:val="65CF770C"/>
    <w:rsid w:val="680622D3"/>
    <w:rsid w:val="68515E16"/>
    <w:rsid w:val="6AC87D14"/>
    <w:rsid w:val="6AF27A26"/>
    <w:rsid w:val="6B2D401B"/>
    <w:rsid w:val="6B686E01"/>
    <w:rsid w:val="6C083654"/>
    <w:rsid w:val="6C094604"/>
    <w:rsid w:val="6C751B3B"/>
    <w:rsid w:val="6D463D66"/>
    <w:rsid w:val="6DC37643"/>
    <w:rsid w:val="6E182D60"/>
    <w:rsid w:val="6E354925"/>
    <w:rsid w:val="6E4A295F"/>
    <w:rsid w:val="6EAE5472"/>
    <w:rsid w:val="6ED924EF"/>
    <w:rsid w:val="6FE03650"/>
    <w:rsid w:val="70327008"/>
    <w:rsid w:val="70926DFA"/>
    <w:rsid w:val="710B2708"/>
    <w:rsid w:val="722A45E1"/>
    <w:rsid w:val="724471CD"/>
    <w:rsid w:val="734653CB"/>
    <w:rsid w:val="74963E13"/>
    <w:rsid w:val="75292AD1"/>
    <w:rsid w:val="7553467E"/>
    <w:rsid w:val="760D37CC"/>
    <w:rsid w:val="77746301"/>
    <w:rsid w:val="777C4360"/>
    <w:rsid w:val="79870010"/>
    <w:rsid w:val="79E2018B"/>
    <w:rsid w:val="7B3B62E0"/>
    <w:rsid w:val="7C7F737F"/>
    <w:rsid w:val="7CF20C20"/>
    <w:rsid w:val="7DA154A0"/>
    <w:rsid w:val="7DD345AE"/>
    <w:rsid w:val="7E921C8E"/>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4"/>
    <w:link w:val="18"/>
    <w:autoRedefine/>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4">
    <w:name w:val="heading 3"/>
    <w:basedOn w:val="1"/>
    <w:next w:val="1"/>
    <w:link w:val="19"/>
    <w:autoRedefine/>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5">
    <w:name w:val="heading 4"/>
    <w:basedOn w:val="1"/>
    <w:next w:val="1"/>
    <w:link w:val="20"/>
    <w:autoRedefine/>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6">
    <w:name w:val="heading 5"/>
    <w:basedOn w:val="1"/>
    <w:next w:val="1"/>
    <w:link w:val="21"/>
    <w:autoRedefine/>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5">
    <w:name w:val="Default Paragraph Font"/>
    <w:autoRedefine/>
    <w:semiHidden/>
    <w:unhideWhenUsed/>
    <w:qFormat/>
    <w:uiPriority w:val="1"/>
  </w:style>
  <w:style w:type="table" w:default="1" w:styleId="14">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autoRedefine/>
    <w:unhideWhenUsed/>
    <w:qFormat/>
    <w:uiPriority w:val="99"/>
    <w:pPr>
      <w:spacing w:line="480" w:lineRule="auto"/>
      <w:jc w:val="center"/>
    </w:pPr>
    <w:rPr>
      <w:rFonts w:ascii="宋体"/>
      <w:b/>
      <w:sz w:val="72"/>
      <w:szCs w:val="20"/>
    </w:rPr>
  </w:style>
  <w:style w:type="paragraph" w:styleId="7">
    <w:name w:val="Normal Indent"/>
    <w:basedOn w:val="1"/>
    <w:autoRedefine/>
    <w:qFormat/>
    <w:uiPriority w:val="99"/>
    <w:pPr>
      <w:ind w:firstLine="420" w:firstLineChars="200"/>
    </w:pPr>
  </w:style>
  <w:style w:type="paragraph" w:styleId="8">
    <w:name w:val="Body Text Indent"/>
    <w:basedOn w:val="1"/>
    <w:autoRedefine/>
    <w:qFormat/>
    <w:uiPriority w:val="0"/>
    <w:pPr>
      <w:spacing w:after="120"/>
      <w:ind w:left="420" w:leftChars="200"/>
    </w:pPr>
    <w:rPr>
      <w:lang w:val="zh-CN"/>
    </w:rPr>
  </w:style>
  <w:style w:type="paragraph" w:styleId="9">
    <w:name w:val="Plain Text"/>
    <w:basedOn w:val="1"/>
    <w:next w:val="1"/>
    <w:autoRedefine/>
    <w:qFormat/>
    <w:uiPriority w:val="0"/>
    <w:rPr>
      <w:rFonts w:ascii="宋体" w:hAnsi="Courier New"/>
      <w:szCs w:val="20"/>
    </w:rPr>
  </w:style>
  <w:style w:type="paragraph" w:styleId="10">
    <w:name w:val="Balloon Text"/>
    <w:basedOn w:val="1"/>
    <w:link w:val="40"/>
    <w:autoRedefine/>
    <w:qFormat/>
    <w:uiPriority w:val="0"/>
    <w:rPr>
      <w:sz w:val="18"/>
      <w:szCs w:val="18"/>
    </w:rPr>
  </w:style>
  <w:style w:type="paragraph" w:styleId="11">
    <w:name w:val="footer"/>
    <w:basedOn w:val="1"/>
    <w:link w:val="17"/>
    <w:autoRedefine/>
    <w:qFormat/>
    <w:uiPriority w:val="0"/>
    <w:pPr>
      <w:tabs>
        <w:tab w:val="center" w:pos="4153"/>
        <w:tab w:val="right" w:pos="8306"/>
      </w:tabs>
      <w:snapToGrid w:val="0"/>
      <w:jc w:val="left"/>
    </w:pPr>
    <w:rPr>
      <w:sz w:val="18"/>
      <w:szCs w:val="18"/>
    </w:rPr>
  </w:style>
  <w:style w:type="paragraph" w:styleId="12">
    <w:name w:val="header"/>
    <w:basedOn w:val="1"/>
    <w:link w:val="16"/>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First Indent 2"/>
    <w:basedOn w:val="8"/>
    <w:autoRedefine/>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character" w:customStyle="1" w:styleId="16">
    <w:name w:val="页眉 Char"/>
    <w:basedOn w:val="15"/>
    <w:link w:val="12"/>
    <w:autoRedefine/>
    <w:qFormat/>
    <w:uiPriority w:val="0"/>
    <w:rPr>
      <w:kern w:val="2"/>
      <w:sz w:val="18"/>
      <w:szCs w:val="18"/>
    </w:rPr>
  </w:style>
  <w:style w:type="character" w:customStyle="1" w:styleId="17">
    <w:name w:val="页脚 Char"/>
    <w:basedOn w:val="15"/>
    <w:link w:val="11"/>
    <w:autoRedefine/>
    <w:qFormat/>
    <w:uiPriority w:val="0"/>
    <w:rPr>
      <w:kern w:val="2"/>
      <w:sz w:val="18"/>
      <w:szCs w:val="18"/>
    </w:rPr>
  </w:style>
  <w:style w:type="character" w:customStyle="1" w:styleId="18">
    <w:name w:val="标题 2 Char"/>
    <w:basedOn w:val="15"/>
    <w:link w:val="3"/>
    <w:autoRedefine/>
    <w:qFormat/>
    <w:uiPriority w:val="0"/>
    <w:rPr>
      <w:rFonts w:ascii="Book Antiqua" w:hAnsi="Book Antiqua" w:eastAsia="黑体" w:cs="Book Antiqua"/>
      <w:bCs/>
      <w:sz w:val="36"/>
      <w:szCs w:val="36"/>
      <w:lang w:eastAsia="en-US"/>
    </w:rPr>
  </w:style>
  <w:style w:type="character" w:customStyle="1" w:styleId="19">
    <w:name w:val="标题 3 Char"/>
    <w:basedOn w:val="15"/>
    <w:link w:val="4"/>
    <w:autoRedefine/>
    <w:qFormat/>
    <w:uiPriority w:val="0"/>
    <w:rPr>
      <w:rFonts w:ascii="Book Antiqua" w:hAnsi="Book Antiqua" w:eastAsia="黑体" w:cs="宋体"/>
      <w:sz w:val="32"/>
      <w:szCs w:val="32"/>
    </w:rPr>
  </w:style>
  <w:style w:type="character" w:customStyle="1" w:styleId="20">
    <w:name w:val="标题 4 Char"/>
    <w:basedOn w:val="15"/>
    <w:link w:val="5"/>
    <w:autoRedefine/>
    <w:qFormat/>
    <w:uiPriority w:val="0"/>
    <w:rPr>
      <w:rFonts w:ascii="Book Antiqua" w:hAnsi="Book Antiqua" w:eastAsia="黑体" w:cs="宋体"/>
      <w:sz w:val="28"/>
      <w:szCs w:val="28"/>
    </w:rPr>
  </w:style>
  <w:style w:type="character" w:customStyle="1" w:styleId="21">
    <w:name w:val="标题 5 Char"/>
    <w:basedOn w:val="15"/>
    <w:link w:val="6"/>
    <w:autoRedefine/>
    <w:qFormat/>
    <w:uiPriority w:val="0"/>
    <w:rPr>
      <w:rFonts w:ascii="Book Antiqua" w:hAnsi="Book Antiqua" w:eastAsia="黑体" w:cs="宋体"/>
      <w:sz w:val="24"/>
      <w:szCs w:val="24"/>
    </w:rPr>
  </w:style>
  <w:style w:type="paragraph" w:styleId="22">
    <w:name w:val="List Paragraph"/>
    <w:basedOn w:val="1"/>
    <w:link w:val="23"/>
    <w:autoRedefine/>
    <w:qFormat/>
    <w:uiPriority w:val="34"/>
    <w:pPr>
      <w:ind w:firstLine="420" w:firstLineChars="200"/>
    </w:pPr>
    <w:rPr>
      <w:rFonts w:asciiTheme="minorHAnsi" w:hAnsiTheme="minorHAnsi" w:eastAsiaTheme="minorEastAsia" w:cstheme="minorBidi"/>
      <w:szCs w:val="22"/>
    </w:rPr>
  </w:style>
  <w:style w:type="character" w:customStyle="1" w:styleId="23">
    <w:name w:val="列出段落 Char"/>
    <w:link w:val="22"/>
    <w:autoRedefine/>
    <w:qFormat/>
    <w:uiPriority w:val="34"/>
    <w:rPr>
      <w:rFonts w:asciiTheme="minorHAnsi" w:hAnsiTheme="minorHAnsi" w:eastAsiaTheme="minorEastAsia" w:cstheme="minorBidi"/>
      <w:kern w:val="2"/>
      <w:sz w:val="21"/>
      <w:szCs w:val="22"/>
    </w:rPr>
  </w:style>
  <w:style w:type="character" w:customStyle="1" w:styleId="24">
    <w:name w:val="Item Step in table Char Char"/>
    <w:link w:val="25"/>
    <w:autoRedefine/>
    <w:qFormat/>
    <w:uiPriority w:val="0"/>
    <w:rPr>
      <w:rFonts w:cs="Arial"/>
      <w:bCs/>
      <w:szCs w:val="28"/>
    </w:rPr>
  </w:style>
  <w:style w:type="paragraph" w:customStyle="1" w:styleId="25">
    <w:name w:val="Item Step in table"/>
    <w:basedOn w:val="6"/>
    <w:link w:val="24"/>
    <w:autoRedefine/>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6">
    <w:name w:val="Block Label"/>
    <w:basedOn w:val="1"/>
    <w:next w:val="1"/>
    <w:autoRedefine/>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7">
    <w:name w:val="Table Description"/>
    <w:basedOn w:val="1"/>
    <w:next w:val="1"/>
    <w:autoRedefine/>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8">
    <w:name w:val="Table Text Char"/>
    <w:link w:val="29"/>
    <w:autoRedefine/>
    <w:qFormat/>
    <w:uiPriority w:val="0"/>
    <w:rPr>
      <w:rFonts w:cs="Arial"/>
      <w:szCs w:val="21"/>
    </w:rPr>
  </w:style>
  <w:style w:type="paragraph" w:customStyle="1" w:styleId="29">
    <w:name w:val="Table Text"/>
    <w:basedOn w:val="1"/>
    <w:link w:val="28"/>
    <w:autoRedefine/>
    <w:qFormat/>
    <w:uiPriority w:val="0"/>
    <w:pPr>
      <w:topLinePunct/>
      <w:adjustRightInd w:val="0"/>
      <w:snapToGrid w:val="0"/>
      <w:spacing w:before="80" w:after="80" w:line="240" w:lineRule="atLeast"/>
      <w:jc w:val="left"/>
    </w:pPr>
    <w:rPr>
      <w:rFonts w:cs="Arial"/>
      <w:kern w:val="0"/>
      <w:sz w:val="20"/>
      <w:szCs w:val="21"/>
    </w:rPr>
  </w:style>
  <w:style w:type="paragraph" w:customStyle="1" w:styleId="30">
    <w:name w:val="Step"/>
    <w:basedOn w:val="1"/>
    <w:autoRedefine/>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1">
    <w:name w:val="CAUTION Text Step"/>
    <w:basedOn w:val="1"/>
    <w:autoRedefine/>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2">
    <w:name w:val="Sub Item Step in Table"/>
    <w:autoRedefin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3">
    <w:name w:val="Sub Item List in Table"/>
    <w:basedOn w:val="1"/>
    <w:autoRedefine/>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4">
    <w:name w:val="Sub Item Step in Table List"/>
    <w:autoRedefine/>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5">
    <w:name w:val="Item List in Table"/>
    <w:basedOn w:val="1"/>
    <w:autoRedefine/>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6">
    <w:name w:val="Figure Description"/>
    <w:next w:val="1"/>
    <w:autoRedefine/>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7">
    <w:name w:val="Notes Text Step"/>
    <w:basedOn w:val="31"/>
    <w:autoRedefine/>
    <w:qFormat/>
    <w:uiPriority w:val="0"/>
    <w:pPr>
      <w:numPr>
        <w:ilvl w:val="6"/>
      </w:numPr>
      <w:pBdr>
        <w:bottom w:val="none" w:color="auto" w:sz="0" w:space="0"/>
      </w:pBdr>
      <w:spacing w:before="40" w:line="200" w:lineRule="atLeast"/>
    </w:pPr>
    <w:rPr>
      <w:sz w:val="18"/>
      <w:szCs w:val="18"/>
    </w:rPr>
  </w:style>
  <w:style w:type="paragraph" w:customStyle="1" w:styleId="38">
    <w:name w:val="Notes Text Step in Table"/>
    <w:autoRedefin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9">
    <w:name w:val="Sub Item List in Table Step"/>
    <w:basedOn w:val="1"/>
    <w:autoRedefine/>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40">
    <w:name w:val="批注框文本 Char"/>
    <w:basedOn w:val="15"/>
    <w:link w:val="10"/>
    <w:autoRedefine/>
    <w:qFormat/>
    <w:uiPriority w:val="0"/>
    <w:rPr>
      <w:kern w:val="2"/>
      <w:sz w:val="18"/>
      <w:szCs w:val="18"/>
    </w:rPr>
  </w:style>
  <w:style w:type="paragraph" w:customStyle="1" w:styleId="41">
    <w:name w:val="样式 宋体 小四 行距: 1.5 倍行距 首行缩进:  2 字符"/>
    <w:basedOn w:val="1"/>
    <w:autoRedefine/>
    <w:qFormat/>
    <w:uiPriority w:val="99"/>
    <w:pPr>
      <w:spacing w:line="360" w:lineRule="auto"/>
      <w:ind w:firstLine="480" w:firstLineChars="200"/>
    </w:pPr>
    <w:rPr>
      <w:rFonts w:ascii="Times New Roman" w:hAnsi="Times New Roman" w:cs="宋体"/>
    </w:rPr>
  </w:style>
  <w:style w:type="character" w:customStyle="1" w:styleId="42">
    <w:name w:val="font21"/>
    <w:basedOn w:val="15"/>
    <w:autoRedefine/>
    <w:qFormat/>
    <w:uiPriority w:val="0"/>
    <w:rPr>
      <w:rFonts w:hint="eastAsia" w:ascii="宋体" w:hAnsi="宋体" w:eastAsia="宋体" w:cs="宋体"/>
      <w:color w:val="000000"/>
      <w:sz w:val="20"/>
      <w:szCs w:val="20"/>
      <w:u w:val="none"/>
    </w:rPr>
  </w:style>
  <w:style w:type="character" w:customStyle="1" w:styleId="43">
    <w:name w:val="font31"/>
    <w:basedOn w:val="15"/>
    <w:autoRedefine/>
    <w:qFormat/>
    <w:uiPriority w:val="0"/>
    <w:rPr>
      <w:rFonts w:hint="default" w:ascii="Times New Roman" w:hAnsi="Times New Roman" w:cs="Times New Roman"/>
      <w:color w:val="000000"/>
      <w:sz w:val="20"/>
      <w:szCs w:val="20"/>
      <w:u w:val="none"/>
    </w:rPr>
  </w:style>
  <w:style w:type="character" w:customStyle="1" w:styleId="44">
    <w:name w:val="font41"/>
    <w:basedOn w:val="15"/>
    <w:autoRedefine/>
    <w:qFormat/>
    <w:uiPriority w:val="0"/>
    <w:rPr>
      <w:rFonts w:hint="eastAsia" w:ascii="宋体" w:hAnsi="宋体" w:eastAsia="宋体" w:cs="宋体"/>
      <w:color w:val="000000"/>
      <w:sz w:val="20"/>
      <w:szCs w:val="20"/>
      <w:u w:val="none"/>
      <w:vertAlign w:val="superscript"/>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452</Words>
  <Characters>569</Characters>
  <Lines>61</Lines>
  <Paragraphs>17</Paragraphs>
  <TotalTime>6</TotalTime>
  <ScaleCrop>false</ScaleCrop>
  <LinksUpToDate>false</LinksUpToDate>
  <CharactersWithSpaces>627</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鲸落</cp:lastModifiedBy>
  <cp:lastPrinted>2022-10-20T06:50:00Z</cp:lastPrinted>
  <dcterms:modified xsi:type="dcterms:W3CDTF">2024-03-12T08:55:35Z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B75484C30A0D48A998196F431A9A3E69</vt:lpwstr>
  </property>
</Properties>
</file>