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广州交投集团营运道路2023-2026年度机电养护综合管养项目-广州至河源高速公路（广州段）费额显示器模组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2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42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0F6F6E82"/>
    <w:rsid w:val="12ED5CBA"/>
    <w:rsid w:val="1602382A"/>
    <w:rsid w:val="167E7F40"/>
    <w:rsid w:val="17241841"/>
    <w:rsid w:val="1C7A05BE"/>
    <w:rsid w:val="2E0860D1"/>
    <w:rsid w:val="2EF30ABB"/>
    <w:rsid w:val="2FE4177C"/>
    <w:rsid w:val="34DB5F68"/>
    <w:rsid w:val="35D07851"/>
    <w:rsid w:val="3EFD65C9"/>
    <w:rsid w:val="4044389B"/>
    <w:rsid w:val="41DC184E"/>
    <w:rsid w:val="49DC5C4D"/>
    <w:rsid w:val="4FD71520"/>
    <w:rsid w:val="52871060"/>
    <w:rsid w:val="57BF2D4E"/>
    <w:rsid w:val="58B74CBC"/>
    <w:rsid w:val="5B977F1A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2024-03-08T06:39:47Z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86C8C61566034A2DA5283FBED3D50AFA</vt:lpwstr>
  </property>
</Properties>
</file>