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ascii="Times New Roman" w:hAnsi="Times New Roman" w:eastAsia="宋体" w:cs="Times New Roman"/>
          <w:b/>
          <w:color w:val="000000"/>
          <w:sz w:val="30"/>
          <w:szCs w:val="30"/>
        </w:rPr>
      </w:pPr>
      <w:r>
        <w:rPr>
          <w:rFonts w:hint="eastAsia" w:cs="Times New Roman"/>
          <w:b/>
          <w:color w:val="000000"/>
          <w:sz w:val="30"/>
          <w:szCs w:val="30"/>
          <w:lang w:val="en-US" w:eastAsia="zh-CN"/>
        </w:rPr>
        <w:t>广州西二环高速公路有限公司乐平收费站无人化收费改造项目红绿可变灯、指示灯、雾灯等</w:t>
      </w:r>
      <w:r>
        <w:rPr>
          <w:rFonts w:hint="eastAsia" w:ascii="Times New Roman" w:hAnsi="Times New Roman" w:eastAsia="宋体" w:cs="Times New Roman"/>
          <w:b/>
          <w:color w:val="000000"/>
          <w:sz w:val="30"/>
          <w:szCs w:val="30"/>
        </w:rPr>
        <w:t>采购意向征集公告</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lang w:val="en-US" w:eastAsia="zh-CN" w:bidi="ar-SA"/>
        </w:rPr>
        <w:t>1.</w:t>
      </w: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w:t>
      </w:r>
      <w:r>
        <w:rPr>
          <w:rFonts w:hint="eastAsia" w:ascii="Times New Roman" w:hAnsi="Times New Roman" w:eastAsia="宋体" w:cs="Times New Roman"/>
          <w:bCs/>
          <w:snapToGrid w:val="0"/>
          <w:kern w:val="0"/>
          <w:sz w:val="24"/>
          <w:szCs w:val="24"/>
        </w:rPr>
        <w:t>广州西二环高速公路有限公司乐平收费站无人化收费改造项目</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0"/>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kern w:val="2"/>
          <w:sz w:val="24"/>
          <w:szCs w:val="24"/>
          <w:lang w:val="en-US" w:eastAsia="zh-CN" w:bidi="ar-SA"/>
        </w:rPr>
        <w:t>2.</w:t>
      </w:r>
      <w:r>
        <w:rPr>
          <w:rFonts w:hint="default" w:ascii="Times New Roman" w:hAnsi="Times New Roman" w:eastAsia="宋体" w:cs="Times New Roman"/>
          <w:b/>
          <w:snapToGrid w:val="0"/>
          <w:kern w:val="0"/>
          <w:sz w:val="24"/>
          <w:szCs w:val="24"/>
        </w:rPr>
        <w:t>具体工程量清单</w:t>
      </w:r>
    </w:p>
    <w:tbl>
      <w:tblPr>
        <w:tblStyle w:val="14"/>
        <w:tblW w:w="8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3"/>
        <w:gridCol w:w="1935"/>
        <w:gridCol w:w="1665"/>
        <w:gridCol w:w="930"/>
        <w:gridCol w:w="840"/>
        <w:gridCol w:w="2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43"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193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材料名称</w:t>
            </w:r>
          </w:p>
        </w:tc>
        <w:tc>
          <w:tcPr>
            <w:tcW w:w="166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规格型号</w:t>
            </w:r>
          </w:p>
        </w:tc>
        <w:tc>
          <w:tcPr>
            <w:tcW w:w="93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84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2347"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4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auto"/>
                <w:kern w:val="0"/>
                <w:sz w:val="18"/>
                <w:szCs w:val="18"/>
                <w:u w:val="none"/>
                <w:lang w:val="en-US" w:eastAsia="zh-CN" w:bidi="ar"/>
              </w:rPr>
              <w:t>804-4-1</w:t>
            </w:r>
          </w:p>
        </w:tc>
        <w:tc>
          <w:tcPr>
            <w:tcW w:w="1935"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auto"/>
                <w:kern w:val="0"/>
                <w:sz w:val="18"/>
                <w:szCs w:val="18"/>
                <w:u w:val="none"/>
                <w:lang w:val="en-US" w:eastAsia="zh-CN" w:bidi="ar"/>
              </w:rPr>
              <w:t>红绿可变灯</w:t>
            </w:r>
          </w:p>
        </w:tc>
        <w:tc>
          <w:tcPr>
            <w:tcW w:w="1665"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bookmarkStart w:id="3" w:name="_GoBack"/>
            <w:bookmarkEnd w:id="3"/>
          </w:p>
        </w:tc>
        <w:tc>
          <w:tcPr>
            <w:tcW w:w="930"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sz w:val="21"/>
                <w:szCs w:val="21"/>
                <w:lang w:val="en-US" w:eastAsia="zh-CN"/>
              </w:rPr>
            </w:pPr>
            <w:r>
              <w:rPr>
                <w:rFonts w:hint="eastAsia" w:ascii="宋体" w:hAnsi="宋体" w:eastAsia="宋体" w:cs="宋体"/>
                <w:i w:val="0"/>
                <w:iCs w:val="0"/>
                <w:color w:val="auto"/>
                <w:kern w:val="0"/>
                <w:sz w:val="18"/>
                <w:szCs w:val="18"/>
                <w:u w:val="none"/>
                <w:lang w:val="en-US" w:eastAsia="zh-CN" w:bidi="ar"/>
              </w:rPr>
              <w:t>米</w:t>
            </w:r>
          </w:p>
        </w:tc>
        <w:tc>
          <w:tcPr>
            <w:tcW w:w="84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cs="宋体"/>
                <w:i w:val="0"/>
                <w:iCs w:val="0"/>
                <w:color w:val="auto"/>
                <w:kern w:val="0"/>
                <w:sz w:val="18"/>
                <w:szCs w:val="18"/>
                <w:u w:val="none"/>
                <w:lang w:val="en-US" w:eastAsia="zh-CN" w:bidi="ar"/>
              </w:rPr>
              <w:t>378</w:t>
            </w:r>
          </w:p>
        </w:tc>
        <w:tc>
          <w:tcPr>
            <w:tcW w:w="2347"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r>
              <w:rPr>
                <w:rFonts w:hint="eastAsia" w:hAnsiTheme="minorEastAsia" w:eastAsiaTheme="minorEastAsia"/>
                <w:szCs w:val="21"/>
                <w:lang w:val="en-US" w:eastAsia="zh-CN"/>
              </w:rPr>
              <w:t>共10条车道，含10套</w:t>
            </w:r>
            <w:r>
              <w:rPr>
                <w:rFonts w:hint="default" w:hAnsiTheme="minorEastAsia" w:eastAsiaTheme="minorEastAsia"/>
                <w:szCs w:val="21"/>
                <w:lang w:val="en-US" w:eastAsia="zh-CN"/>
              </w:rPr>
              <w:t>诱导灯</w:t>
            </w:r>
            <w:r>
              <w:rPr>
                <w:rFonts w:hint="eastAsia" w:hAnsiTheme="minorEastAsia" w:eastAsiaTheme="minorEastAsia"/>
                <w:szCs w:val="21"/>
                <w:lang w:val="en-US" w:eastAsia="zh-CN"/>
              </w:rPr>
              <w:t>条控制器和电源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4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auto"/>
                <w:kern w:val="0"/>
                <w:sz w:val="18"/>
                <w:szCs w:val="18"/>
                <w:u w:val="none"/>
                <w:lang w:val="en-US" w:eastAsia="zh-CN" w:bidi="ar"/>
              </w:rPr>
              <w:t>804-4-2</w:t>
            </w:r>
          </w:p>
        </w:tc>
        <w:tc>
          <w:tcPr>
            <w:tcW w:w="1935"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sz w:val="21"/>
                <w:szCs w:val="21"/>
                <w:lang w:val="en-US" w:eastAsia="zh-CN"/>
              </w:rPr>
            </w:pPr>
            <w:r>
              <w:rPr>
                <w:rFonts w:hint="eastAsia" w:ascii="宋体" w:hAnsi="宋体" w:eastAsia="宋体" w:cs="宋体"/>
                <w:i w:val="0"/>
                <w:iCs w:val="0"/>
                <w:color w:val="auto"/>
                <w:kern w:val="0"/>
                <w:sz w:val="18"/>
                <w:szCs w:val="18"/>
                <w:u w:val="none"/>
                <w:lang w:val="en-US" w:eastAsia="zh-CN" w:bidi="ar"/>
              </w:rPr>
              <w:t>收费车道红绿指示灯</w:t>
            </w:r>
          </w:p>
        </w:tc>
        <w:tc>
          <w:tcPr>
            <w:tcW w:w="1665" w:type="dxa"/>
            <w:shd w:val="clear" w:color="auto" w:fill="auto"/>
            <w:vAlign w:val="center"/>
          </w:tcPr>
          <w:p>
            <w:pPr>
              <w:spacing w:beforeLines="50" w:afterLines="50" w:line="240" w:lineRule="auto"/>
              <w:jc w:val="center"/>
              <w:rPr>
                <w:rFonts w:hint="eastAsia" w:ascii="Times New Roman" w:hAnsi="Times New Roman" w:eastAsia="宋体" w:cs="Times New Roman"/>
                <w:sz w:val="21"/>
                <w:szCs w:val="21"/>
                <w:lang w:val="en-US" w:eastAsia="zh-CN"/>
              </w:rPr>
            </w:pPr>
          </w:p>
        </w:tc>
        <w:tc>
          <w:tcPr>
            <w:tcW w:w="930"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sz w:val="21"/>
                <w:szCs w:val="21"/>
                <w:lang w:val="en-US" w:eastAsia="zh-CN"/>
              </w:rPr>
            </w:pPr>
            <w:r>
              <w:rPr>
                <w:rFonts w:hint="eastAsia" w:ascii="宋体" w:hAnsi="宋体" w:eastAsia="宋体" w:cs="宋体"/>
                <w:i w:val="0"/>
                <w:iCs w:val="0"/>
                <w:color w:val="auto"/>
                <w:kern w:val="0"/>
                <w:sz w:val="18"/>
                <w:szCs w:val="18"/>
                <w:u w:val="none"/>
                <w:lang w:val="en-US" w:eastAsia="zh-CN" w:bidi="ar"/>
              </w:rPr>
              <w:t>个</w:t>
            </w:r>
          </w:p>
        </w:tc>
        <w:tc>
          <w:tcPr>
            <w:tcW w:w="840"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sz w:val="21"/>
                <w:szCs w:val="21"/>
                <w:lang w:val="en-US" w:eastAsia="zh-CN"/>
              </w:rPr>
            </w:pPr>
            <w:r>
              <w:rPr>
                <w:rFonts w:hint="eastAsia" w:ascii="宋体" w:hAnsi="宋体" w:eastAsia="宋体" w:cs="宋体"/>
                <w:i w:val="0"/>
                <w:iCs w:val="0"/>
                <w:color w:val="auto"/>
                <w:kern w:val="0"/>
                <w:sz w:val="18"/>
                <w:szCs w:val="18"/>
                <w:u w:val="none"/>
                <w:lang w:val="en-US" w:eastAsia="zh-CN" w:bidi="ar"/>
              </w:rPr>
              <w:t>400</w:t>
            </w:r>
          </w:p>
        </w:tc>
        <w:tc>
          <w:tcPr>
            <w:tcW w:w="2347" w:type="dxa"/>
            <w:shd w:val="clear" w:color="auto" w:fill="auto"/>
            <w:vAlign w:val="center"/>
          </w:tcPr>
          <w:p>
            <w:pPr>
              <w:spacing w:beforeLines="50" w:afterLines="50" w:line="240" w:lineRule="auto"/>
              <w:jc w:val="center"/>
              <w:rPr>
                <w:rFonts w:hint="eastAsia" w:ascii="Times New Roman" w:hAnsi="Times New Roman" w:eastAsia="宋体" w:cs="Times New Roman"/>
                <w:sz w:val="21"/>
                <w:szCs w:val="21"/>
                <w:lang w:val="en-US" w:eastAsia="zh-CN"/>
              </w:rPr>
            </w:pPr>
            <w:r>
              <w:rPr>
                <w:rFonts w:hint="eastAsia" w:hAnsiTheme="minorEastAsia" w:eastAsiaTheme="minorEastAsia"/>
                <w:szCs w:val="21"/>
                <w:lang w:val="en-US" w:eastAsia="zh-CN"/>
              </w:rPr>
              <w:t>含10套控制器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43"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804-5-</w:t>
            </w:r>
            <w:r>
              <w:rPr>
                <w:rFonts w:hint="eastAsia" w:ascii="宋体" w:hAnsi="宋体" w:cs="宋体"/>
                <w:i w:val="0"/>
                <w:iCs w:val="0"/>
                <w:color w:val="000000"/>
                <w:kern w:val="0"/>
                <w:sz w:val="18"/>
                <w:szCs w:val="18"/>
                <w:u w:val="none"/>
                <w:lang w:val="en-US" w:eastAsia="zh-CN" w:bidi="ar"/>
              </w:rPr>
              <w:t>1</w:t>
            </w:r>
          </w:p>
        </w:tc>
        <w:tc>
          <w:tcPr>
            <w:tcW w:w="1935"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sz w:val="21"/>
                <w:szCs w:val="21"/>
                <w:lang w:val="en-US" w:eastAsia="zh-CN"/>
              </w:rPr>
            </w:pPr>
            <w:r>
              <w:rPr>
                <w:rFonts w:hint="eastAsia" w:ascii="宋体" w:hAnsi="宋体" w:cs="宋体"/>
                <w:i w:val="0"/>
                <w:iCs w:val="0"/>
                <w:color w:val="000000"/>
                <w:kern w:val="0"/>
                <w:sz w:val="18"/>
                <w:szCs w:val="18"/>
                <w:u w:val="none"/>
                <w:lang w:val="en-US" w:eastAsia="zh-CN" w:bidi="ar"/>
              </w:rPr>
              <w:t>雾灯</w:t>
            </w:r>
          </w:p>
        </w:tc>
        <w:tc>
          <w:tcPr>
            <w:tcW w:w="1665" w:type="dxa"/>
            <w:shd w:val="clear" w:color="auto" w:fill="auto"/>
            <w:vAlign w:val="center"/>
          </w:tcPr>
          <w:p>
            <w:pPr>
              <w:spacing w:beforeLines="50" w:afterLines="50" w:line="240" w:lineRule="auto"/>
              <w:jc w:val="center"/>
              <w:rPr>
                <w:rFonts w:hint="eastAsia" w:ascii="Times New Roman" w:hAnsi="Times New Roman" w:eastAsia="宋体" w:cs="Times New Roman"/>
                <w:sz w:val="21"/>
                <w:szCs w:val="21"/>
                <w:lang w:val="en-US" w:eastAsia="zh-CN"/>
              </w:rPr>
            </w:pPr>
          </w:p>
        </w:tc>
        <w:tc>
          <w:tcPr>
            <w:tcW w:w="930"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套</w:t>
            </w:r>
          </w:p>
        </w:tc>
        <w:tc>
          <w:tcPr>
            <w:tcW w:w="840"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10</w:t>
            </w:r>
          </w:p>
        </w:tc>
        <w:tc>
          <w:tcPr>
            <w:tcW w:w="2347" w:type="dxa"/>
            <w:shd w:val="clear" w:color="auto" w:fill="auto"/>
            <w:vAlign w:val="center"/>
          </w:tcPr>
          <w:p>
            <w:pPr>
              <w:pStyle w:val="13"/>
              <w:ind w:left="0" w:leftChars="0" w:firstLine="0" w:firstLineChars="0"/>
              <w:rPr>
                <w:rFonts w:hint="eastAsia" w:ascii="Times New Roman" w:hAnsi="Times New Roman" w:eastAsia="宋体" w:cs="Times New Roman"/>
                <w:sz w:val="21"/>
                <w:szCs w:val="21"/>
                <w:lang w:val="en-US" w:eastAsia="zh-CN"/>
              </w:rPr>
            </w:pP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3"/>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包括运输、保险费、税费、试运行及缺陷的维护等一切费用；</w:t>
      </w:r>
    </w:p>
    <w:p>
      <w:pPr>
        <w:pStyle w:val="6"/>
        <w:numPr>
          <w:ilvl w:val="0"/>
          <w:numId w:val="3"/>
        </w:numPr>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263540.00</w:t>
      </w:r>
      <w:r>
        <w:rPr>
          <w:rFonts w:hint="default" w:ascii="Times New Roman" w:hAnsi="Times New Roman" w:eastAsia="宋体" w:cs="Times New Roman"/>
          <w:bCs/>
          <w:snapToGrid w:val="0"/>
          <w:kern w:val="0"/>
          <w:sz w:val="24"/>
          <w:szCs w:val="24"/>
        </w:rPr>
        <w:t>元。</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bCs/>
          <w:kern w:val="2"/>
          <w:sz w:val="24"/>
          <w:szCs w:val="24"/>
          <w:lang w:val="en-US" w:eastAsia="zh-CN" w:bidi="ar-SA"/>
        </w:rPr>
        <w:t>3</w:t>
      </w:r>
      <w:r>
        <w:rPr>
          <w:rFonts w:hint="default" w:ascii="Times New Roman" w:hAnsi="Times New Roman" w:eastAsia="宋体" w:cs="Times New Roman"/>
          <w:b/>
          <w:bCs/>
          <w:kern w:val="2"/>
          <w:sz w:val="21"/>
          <w:szCs w:val="24"/>
          <w:lang w:val="en-US" w:eastAsia="zh-CN" w:bidi="ar-SA"/>
        </w:rPr>
        <w:t>.</w:t>
      </w:r>
      <w:r>
        <w:rPr>
          <w:rFonts w:hint="default" w:ascii="Times New Roman" w:hAnsi="Times New Roman" w:eastAsia="宋体" w:cs="Times New Roman"/>
          <w:b/>
          <w:snapToGrid w:val="0"/>
          <w:kern w:val="0"/>
          <w:sz w:val="24"/>
          <w:szCs w:val="24"/>
        </w:rPr>
        <w:t>供应商资格条件</w:t>
      </w:r>
    </w:p>
    <w:p>
      <w:pPr>
        <w:pStyle w:val="6"/>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pStyle w:val="6"/>
        <w:numPr>
          <w:ilvl w:val="0"/>
          <w:numId w:val="4"/>
        </w:numPr>
        <w:ind w:left="0" w:leftChars="0" w:firstLine="0" w:firstLineChars="0"/>
        <w:rPr>
          <w:rFonts w:hint="eastAsia" w:cs="Times New Roman"/>
          <w:b/>
          <w:snapToGrid w:val="0"/>
          <w:kern w:val="0"/>
          <w:sz w:val="24"/>
          <w:szCs w:val="24"/>
          <w:lang w:val="en-US" w:eastAsia="zh-CN" w:bidi="ar-SA"/>
        </w:rPr>
      </w:pPr>
      <w:r>
        <w:rPr>
          <w:rFonts w:hint="eastAsia" w:cs="Times New Roman"/>
          <w:b/>
          <w:snapToGrid w:val="0"/>
          <w:kern w:val="0"/>
          <w:sz w:val="24"/>
          <w:szCs w:val="24"/>
          <w:lang w:val="en-US" w:eastAsia="zh-CN" w:bidi="ar-SA"/>
        </w:rPr>
        <w:t>技术参数</w:t>
      </w:r>
    </w:p>
    <w:p>
      <w:pPr>
        <w:numPr>
          <w:ilvl w:val="0"/>
          <w:numId w:val="0"/>
        </w:numPr>
        <w:topLinePunct/>
        <w:spacing w:line="360" w:lineRule="auto"/>
        <w:ind w:firstLine="480" w:firstLineChars="200"/>
        <w:outlineLvl w:val="1"/>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804-4-1</w:t>
      </w:r>
      <w:r>
        <w:rPr>
          <w:rFonts w:hint="eastAsia" w:cs="Times New Roman"/>
          <w:kern w:val="2"/>
          <w:sz w:val="24"/>
          <w:szCs w:val="24"/>
          <w:lang w:val="en-US" w:eastAsia="zh-CN" w:bidi="ar-SA"/>
        </w:rPr>
        <w:t xml:space="preserve"> </w:t>
      </w:r>
      <w:r>
        <w:rPr>
          <w:rFonts w:hint="eastAsia" w:ascii="Times New Roman" w:hAnsi="Times New Roman" w:eastAsia="宋体" w:cs="Times New Roman"/>
          <w:kern w:val="2"/>
          <w:sz w:val="24"/>
          <w:szCs w:val="24"/>
          <w:lang w:val="en-US" w:eastAsia="zh-CN" w:bidi="ar-SA"/>
        </w:rPr>
        <w:t>红绿可变灯</w:t>
      </w:r>
    </w:p>
    <w:p>
      <w:pPr>
        <w:numPr>
          <w:ilvl w:val="0"/>
          <w:numId w:val="0"/>
        </w:numPr>
        <w:topLinePunct/>
        <w:spacing w:line="360" w:lineRule="auto"/>
        <w:ind w:firstLine="480" w:firstLineChars="200"/>
        <w:outlineLvl w:val="1"/>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车道诱导灯条：</w:t>
      </w:r>
    </w:p>
    <w:p>
      <w:pPr>
        <w:numPr>
          <w:ilvl w:val="0"/>
          <w:numId w:val="0"/>
        </w:numPr>
        <w:topLinePunct/>
        <w:spacing w:line="360" w:lineRule="auto"/>
        <w:ind w:firstLine="480" w:firstLineChars="200"/>
        <w:outlineLvl w:val="1"/>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防护等级：IP67</w:t>
      </w:r>
    </w:p>
    <w:p>
      <w:pPr>
        <w:numPr>
          <w:ilvl w:val="0"/>
          <w:numId w:val="0"/>
        </w:numPr>
        <w:topLinePunct/>
        <w:spacing w:line="360" w:lineRule="auto"/>
        <w:ind w:firstLine="480" w:firstLineChars="200"/>
        <w:outlineLvl w:val="1"/>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尺寸：100*50*30   单位：mm</w:t>
      </w:r>
    </w:p>
    <w:p>
      <w:pPr>
        <w:numPr>
          <w:ilvl w:val="0"/>
          <w:numId w:val="0"/>
        </w:numPr>
        <w:topLinePunct/>
        <w:spacing w:line="360" w:lineRule="auto"/>
        <w:ind w:firstLine="480" w:firstLineChars="200"/>
        <w:outlineLvl w:val="1"/>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电源：DC24V供电</w:t>
      </w:r>
    </w:p>
    <w:p>
      <w:pPr>
        <w:numPr>
          <w:ilvl w:val="0"/>
          <w:numId w:val="0"/>
        </w:numPr>
        <w:topLinePunct/>
        <w:spacing w:line="360" w:lineRule="auto"/>
        <w:ind w:firstLine="480" w:firstLineChars="200"/>
        <w:outlineLvl w:val="1"/>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功率：14W/米</w:t>
      </w:r>
    </w:p>
    <w:p>
      <w:pPr>
        <w:numPr>
          <w:ilvl w:val="0"/>
          <w:numId w:val="0"/>
        </w:numPr>
        <w:topLinePunct/>
        <w:spacing w:line="360" w:lineRule="auto"/>
        <w:ind w:firstLine="480" w:firstLineChars="200"/>
        <w:outlineLvl w:val="1"/>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灯珠数：144颗/米</w:t>
      </w:r>
    </w:p>
    <w:p>
      <w:pPr>
        <w:numPr>
          <w:ilvl w:val="0"/>
          <w:numId w:val="0"/>
        </w:numPr>
        <w:topLinePunct/>
        <w:spacing w:line="360" w:lineRule="auto"/>
        <w:ind w:firstLine="480" w:firstLineChars="200"/>
        <w:outlineLvl w:val="1"/>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显示颜色：红、绿、彩色</w:t>
      </w:r>
    </w:p>
    <w:p>
      <w:pPr>
        <w:numPr>
          <w:ilvl w:val="0"/>
          <w:numId w:val="0"/>
        </w:numPr>
        <w:topLinePunct/>
        <w:spacing w:line="360" w:lineRule="auto"/>
        <w:ind w:firstLine="480" w:firstLineChars="200"/>
        <w:outlineLvl w:val="1"/>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显示效果：常亮、闪烁、跑马灯</w:t>
      </w:r>
    </w:p>
    <w:p>
      <w:pPr>
        <w:numPr>
          <w:ilvl w:val="0"/>
          <w:numId w:val="0"/>
        </w:numPr>
        <w:topLinePunct/>
        <w:spacing w:line="360" w:lineRule="auto"/>
        <w:ind w:firstLine="480" w:firstLineChars="200"/>
        <w:outlineLvl w:val="1"/>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级联：可串行级联</w:t>
      </w:r>
    </w:p>
    <w:p>
      <w:pPr>
        <w:numPr>
          <w:ilvl w:val="0"/>
          <w:numId w:val="0"/>
        </w:numPr>
        <w:topLinePunct/>
        <w:spacing w:line="360" w:lineRule="auto"/>
        <w:ind w:firstLine="480" w:firstLineChars="200"/>
        <w:outlineLvl w:val="1"/>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通讯接口：RS485串口</w:t>
      </w:r>
    </w:p>
    <w:p>
      <w:pPr>
        <w:numPr>
          <w:ilvl w:val="0"/>
          <w:numId w:val="0"/>
        </w:numPr>
        <w:topLinePunct/>
        <w:spacing w:line="360" w:lineRule="auto"/>
        <w:ind w:firstLine="480" w:firstLineChars="200"/>
        <w:outlineLvl w:val="1"/>
        <w:rPr>
          <w:rFonts w:hint="default" w:ascii="Times New Roman" w:hAnsi="Times New Roman" w:eastAsia="宋体" w:cs="Times New Roman"/>
          <w:kern w:val="2"/>
          <w:sz w:val="24"/>
          <w:szCs w:val="24"/>
          <w:lang w:val="en-US" w:eastAsia="zh-CN" w:bidi="ar-SA"/>
        </w:rPr>
      </w:pPr>
    </w:p>
    <w:p>
      <w:pPr>
        <w:numPr>
          <w:ilvl w:val="0"/>
          <w:numId w:val="0"/>
        </w:numPr>
        <w:topLinePunct/>
        <w:spacing w:line="360" w:lineRule="auto"/>
        <w:ind w:firstLine="480" w:firstLineChars="200"/>
        <w:outlineLvl w:val="1"/>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诱导灯控制器：</w:t>
      </w:r>
    </w:p>
    <w:p>
      <w:pPr>
        <w:numPr>
          <w:ilvl w:val="0"/>
          <w:numId w:val="0"/>
        </w:numPr>
        <w:topLinePunct/>
        <w:spacing w:line="360" w:lineRule="auto"/>
        <w:ind w:firstLine="480" w:firstLineChars="200"/>
        <w:outlineLvl w:val="1"/>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尺寸：280*400*100  单位：mm</w:t>
      </w:r>
    </w:p>
    <w:p>
      <w:pPr>
        <w:numPr>
          <w:ilvl w:val="0"/>
          <w:numId w:val="0"/>
        </w:numPr>
        <w:topLinePunct/>
        <w:spacing w:line="360" w:lineRule="auto"/>
        <w:ind w:firstLine="480" w:firstLineChars="200"/>
        <w:outlineLvl w:val="1"/>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电源：AC 220V±15%，50HZ±3%</w:t>
      </w:r>
    </w:p>
    <w:p>
      <w:pPr>
        <w:numPr>
          <w:ilvl w:val="0"/>
          <w:numId w:val="0"/>
        </w:numPr>
        <w:topLinePunct/>
        <w:spacing w:line="360" w:lineRule="auto"/>
        <w:ind w:firstLine="480" w:firstLineChars="200"/>
        <w:outlineLvl w:val="1"/>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亮度等级：16级可调</w:t>
      </w:r>
    </w:p>
    <w:p>
      <w:pPr>
        <w:numPr>
          <w:ilvl w:val="0"/>
          <w:numId w:val="0"/>
        </w:numPr>
        <w:topLinePunct/>
        <w:spacing w:line="360" w:lineRule="auto"/>
        <w:ind w:firstLine="480" w:firstLineChars="200"/>
        <w:outlineLvl w:val="1"/>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输出功率：300W</w:t>
      </w:r>
    </w:p>
    <w:p>
      <w:pPr>
        <w:numPr>
          <w:ilvl w:val="0"/>
          <w:numId w:val="0"/>
        </w:numPr>
        <w:topLinePunct/>
        <w:spacing w:line="360" w:lineRule="auto"/>
        <w:ind w:firstLine="480" w:firstLineChars="200"/>
        <w:outlineLvl w:val="1"/>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输出接口：2路</w:t>
      </w:r>
    </w:p>
    <w:p>
      <w:pPr>
        <w:numPr>
          <w:ilvl w:val="0"/>
          <w:numId w:val="0"/>
        </w:numPr>
        <w:topLinePunct/>
        <w:spacing w:line="360" w:lineRule="auto"/>
        <w:ind w:firstLine="480" w:firstLineChars="200"/>
        <w:outlineLvl w:val="1"/>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通讯接口：RJ45网口</w:t>
      </w:r>
    </w:p>
    <w:p>
      <w:pPr>
        <w:numPr>
          <w:ilvl w:val="0"/>
          <w:numId w:val="0"/>
        </w:numPr>
        <w:topLinePunct/>
        <w:spacing w:line="360" w:lineRule="auto"/>
        <w:ind w:firstLine="480" w:firstLineChars="200"/>
        <w:outlineLvl w:val="1"/>
        <w:rPr>
          <w:rFonts w:hint="eastAsia"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带箭头诱导地灯</w:t>
      </w:r>
      <w:r>
        <w:rPr>
          <w:rFonts w:hint="eastAsia" w:cs="Times New Roman"/>
          <w:kern w:val="2"/>
          <w:sz w:val="24"/>
          <w:szCs w:val="24"/>
          <w:lang w:val="en-US" w:eastAsia="zh-CN" w:bidi="ar-SA"/>
        </w:rPr>
        <w:t>：</w:t>
      </w:r>
    </w:p>
    <w:p>
      <w:pPr>
        <w:numPr>
          <w:ilvl w:val="0"/>
          <w:numId w:val="0"/>
        </w:numPr>
        <w:topLinePunct/>
        <w:spacing w:line="360" w:lineRule="auto"/>
        <w:ind w:firstLine="480" w:firstLineChars="200"/>
        <w:outlineLvl w:val="1"/>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LED有源诱导路标采用防火高强度ASA工程塑料, 安装、维护简单；</w:t>
      </w:r>
    </w:p>
    <w:p>
      <w:pPr>
        <w:numPr>
          <w:ilvl w:val="0"/>
          <w:numId w:val="0"/>
        </w:numPr>
        <w:topLinePunct/>
        <w:spacing w:line="360" w:lineRule="auto"/>
        <w:ind w:firstLine="480" w:firstLineChars="200"/>
        <w:outlineLvl w:val="1"/>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透明保护罩保护，易于清洁，并有效防止灰尘的沉积；</w:t>
      </w:r>
    </w:p>
    <w:p>
      <w:pPr>
        <w:numPr>
          <w:ilvl w:val="0"/>
          <w:numId w:val="0"/>
        </w:numPr>
        <w:topLinePunct/>
        <w:spacing w:line="360" w:lineRule="auto"/>
        <w:ind w:firstLine="480" w:firstLineChars="200"/>
        <w:outlineLvl w:val="1"/>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工作电压为DC24V，反面红灯≤10 mA，正面/顶部红绿≤12 mA；</w:t>
      </w:r>
    </w:p>
    <w:p>
      <w:pPr>
        <w:numPr>
          <w:ilvl w:val="0"/>
          <w:numId w:val="0"/>
        </w:numPr>
        <w:topLinePunct/>
        <w:spacing w:line="360" w:lineRule="auto"/>
        <w:ind w:firstLine="480" w:firstLineChars="200"/>
        <w:outlineLvl w:val="1"/>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绿色发光LED平均发光强度≥24cd，红色发光LED平均发光强度≥22cd；</w:t>
      </w:r>
    </w:p>
    <w:p>
      <w:pPr>
        <w:numPr>
          <w:ilvl w:val="0"/>
          <w:numId w:val="0"/>
        </w:numPr>
        <w:topLinePunct/>
        <w:spacing w:line="360" w:lineRule="auto"/>
        <w:ind w:firstLine="480" w:firstLineChars="200"/>
        <w:outlineLvl w:val="1"/>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正面和顶部LED发光颜色可独立调节，闪烁频率可调；</w:t>
      </w:r>
    </w:p>
    <w:p>
      <w:pPr>
        <w:numPr>
          <w:ilvl w:val="0"/>
          <w:numId w:val="0"/>
        </w:numPr>
        <w:topLinePunct/>
        <w:spacing w:line="360" w:lineRule="auto"/>
        <w:ind w:firstLine="480" w:firstLineChars="200"/>
        <w:outlineLvl w:val="1"/>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单个双面LED诱导发光灯功耗≤1W，最大亮度时电流每组LED≤22mA；</w:t>
      </w:r>
    </w:p>
    <w:p>
      <w:pPr>
        <w:numPr>
          <w:ilvl w:val="0"/>
          <w:numId w:val="0"/>
        </w:numPr>
        <w:topLinePunct/>
        <w:spacing w:line="360" w:lineRule="auto"/>
        <w:ind w:firstLine="480" w:firstLineChars="200"/>
        <w:outlineLvl w:val="1"/>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LED诱导发光灯使用寿命≥10万小时；</w:t>
      </w:r>
    </w:p>
    <w:p>
      <w:pPr>
        <w:numPr>
          <w:ilvl w:val="0"/>
          <w:numId w:val="0"/>
        </w:numPr>
        <w:topLinePunct/>
        <w:spacing w:line="360" w:lineRule="auto"/>
        <w:ind w:firstLine="480" w:firstLineChars="200"/>
        <w:outlineLvl w:val="1"/>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防护等级≥IP67。</w:t>
      </w:r>
    </w:p>
    <w:p>
      <w:pPr>
        <w:numPr>
          <w:ilvl w:val="0"/>
          <w:numId w:val="0"/>
        </w:numPr>
        <w:topLinePunct/>
        <w:spacing w:line="360" w:lineRule="auto"/>
        <w:ind w:firstLine="480" w:firstLineChars="200"/>
        <w:outlineLvl w:val="1"/>
        <w:rPr>
          <w:rFonts w:hint="eastAsia"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804-4-2</w:t>
      </w:r>
      <w:r>
        <w:rPr>
          <w:rFonts w:hint="eastAsia" w:cs="Times New Roman"/>
          <w:kern w:val="2"/>
          <w:sz w:val="24"/>
          <w:szCs w:val="24"/>
          <w:lang w:val="en-US" w:eastAsia="zh-CN" w:bidi="ar-SA"/>
        </w:rPr>
        <w:t xml:space="preserve"> 收费车道红绿指示灯</w:t>
      </w:r>
    </w:p>
    <w:p>
      <w:pPr>
        <w:numPr>
          <w:ilvl w:val="0"/>
          <w:numId w:val="0"/>
        </w:numPr>
        <w:topLinePunct/>
        <w:spacing w:line="360" w:lineRule="auto"/>
        <w:ind w:firstLine="480" w:firstLineChars="200"/>
        <w:outlineLvl w:val="1"/>
        <w:rPr>
          <w:rFonts w:hint="default" w:cs="Times New Roman"/>
          <w:kern w:val="2"/>
          <w:sz w:val="24"/>
          <w:szCs w:val="24"/>
          <w:lang w:val="en-US" w:eastAsia="zh-CN" w:bidi="ar-SA"/>
        </w:rPr>
      </w:pPr>
      <w:r>
        <w:rPr>
          <w:rFonts w:hint="default" w:cs="Times New Roman"/>
          <w:kern w:val="2"/>
          <w:sz w:val="24"/>
          <w:szCs w:val="24"/>
          <w:lang w:val="en-US" w:eastAsia="zh-CN" w:bidi="ar-SA"/>
        </w:rPr>
        <w:t>光源：LED 光源；</w:t>
      </w:r>
    </w:p>
    <w:p>
      <w:pPr>
        <w:numPr>
          <w:ilvl w:val="0"/>
          <w:numId w:val="0"/>
        </w:numPr>
        <w:topLinePunct/>
        <w:spacing w:line="360" w:lineRule="auto"/>
        <w:ind w:firstLine="480" w:firstLineChars="200"/>
        <w:outlineLvl w:val="1"/>
        <w:rPr>
          <w:rFonts w:hint="default" w:cs="Times New Roman"/>
          <w:kern w:val="2"/>
          <w:sz w:val="24"/>
          <w:szCs w:val="24"/>
          <w:lang w:val="en-US" w:eastAsia="zh-CN" w:bidi="ar-SA"/>
        </w:rPr>
      </w:pPr>
      <w:r>
        <w:rPr>
          <w:rFonts w:hint="default" w:cs="Times New Roman"/>
          <w:kern w:val="2"/>
          <w:sz w:val="24"/>
          <w:szCs w:val="24"/>
          <w:lang w:val="en-US" w:eastAsia="zh-CN" w:bidi="ar-SA"/>
        </w:rPr>
        <w:t xml:space="preserve">至少具备红、黄、绿三色显示； </w:t>
      </w:r>
    </w:p>
    <w:p>
      <w:pPr>
        <w:numPr>
          <w:ilvl w:val="0"/>
          <w:numId w:val="0"/>
        </w:numPr>
        <w:topLinePunct/>
        <w:spacing w:line="360" w:lineRule="auto"/>
        <w:ind w:firstLine="480" w:firstLineChars="200"/>
        <w:outlineLvl w:val="1"/>
        <w:rPr>
          <w:rFonts w:hint="default" w:cs="Times New Roman"/>
          <w:kern w:val="2"/>
          <w:sz w:val="24"/>
          <w:szCs w:val="24"/>
          <w:lang w:val="en-US" w:eastAsia="zh-CN" w:bidi="ar-SA"/>
        </w:rPr>
      </w:pPr>
      <w:r>
        <w:rPr>
          <w:rFonts w:hint="default" w:cs="Times New Roman"/>
          <w:kern w:val="2"/>
          <w:sz w:val="24"/>
          <w:szCs w:val="24"/>
          <w:lang w:val="en-US" w:eastAsia="zh-CN" w:bidi="ar-SA"/>
        </w:rPr>
        <w:t xml:space="preserve">具备多级调光能力； </w:t>
      </w:r>
    </w:p>
    <w:p>
      <w:pPr>
        <w:numPr>
          <w:ilvl w:val="0"/>
          <w:numId w:val="0"/>
        </w:numPr>
        <w:topLinePunct/>
        <w:spacing w:line="360" w:lineRule="auto"/>
        <w:ind w:firstLine="480" w:firstLineChars="200"/>
        <w:outlineLvl w:val="1"/>
        <w:rPr>
          <w:rFonts w:hint="default" w:cs="Times New Roman"/>
          <w:kern w:val="2"/>
          <w:sz w:val="24"/>
          <w:szCs w:val="24"/>
          <w:lang w:val="en-US" w:eastAsia="zh-CN" w:bidi="ar-SA"/>
        </w:rPr>
      </w:pPr>
      <w:r>
        <w:rPr>
          <w:rFonts w:hint="default" w:cs="Times New Roman"/>
          <w:kern w:val="2"/>
          <w:sz w:val="24"/>
          <w:szCs w:val="24"/>
          <w:lang w:val="en-US" w:eastAsia="zh-CN" w:bidi="ar-SA"/>
        </w:rPr>
        <w:t xml:space="preserve">灯光应采用柔和亮度，严禁影响行车安全； </w:t>
      </w:r>
    </w:p>
    <w:p>
      <w:pPr>
        <w:numPr>
          <w:ilvl w:val="0"/>
          <w:numId w:val="0"/>
        </w:numPr>
        <w:topLinePunct/>
        <w:spacing w:line="360" w:lineRule="auto"/>
        <w:ind w:firstLine="480" w:firstLineChars="200"/>
        <w:outlineLvl w:val="1"/>
        <w:rPr>
          <w:rFonts w:hint="default" w:cs="Times New Roman"/>
          <w:kern w:val="2"/>
          <w:sz w:val="24"/>
          <w:szCs w:val="24"/>
          <w:lang w:val="en-US" w:eastAsia="zh-CN" w:bidi="ar-SA"/>
        </w:rPr>
      </w:pPr>
      <w:r>
        <w:rPr>
          <w:rFonts w:hint="default" w:cs="Times New Roman"/>
          <w:kern w:val="2"/>
          <w:sz w:val="24"/>
          <w:szCs w:val="24"/>
          <w:lang w:val="en-US" w:eastAsia="zh-CN" w:bidi="ar-SA"/>
        </w:rPr>
        <w:t xml:space="preserve">尺寸：长宽高 1000mm*50mm*50mm； </w:t>
      </w:r>
    </w:p>
    <w:p>
      <w:pPr>
        <w:numPr>
          <w:ilvl w:val="0"/>
          <w:numId w:val="0"/>
        </w:numPr>
        <w:topLinePunct/>
        <w:spacing w:line="360" w:lineRule="auto"/>
        <w:ind w:firstLine="480" w:firstLineChars="200"/>
        <w:outlineLvl w:val="1"/>
        <w:rPr>
          <w:rFonts w:hint="default" w:cs="Times New Roman"/>
          <w:kern w:val="2"/>
          <w:sz w:val="24"/>
          <w:szCs w:val="24"/>
          <w:lang w:val="en-US" w:eastAsia="zh-CN" w:bidi="ar-SA"/>
        </w:rPr>
      </w:pPr>
      <w:r>
        <w:rPr>
          <w:rFonts w:hint="default" w:cs="Times New Roman"/>
          <w:kern w:val="2"/>
          <w:sz w:val="24"/>
          <w:szCs w:val="24"/>
          <w:lang w:val="en-US" w:eastAsia="zh-CN" w:bidi="ar-SA"/>
        </w:rPr>
        <w:t xml:space="preserve">产品材质：具备防水、防腐蚀、抗压及耐磨等室外适用能力； </w:t>
      </w:r>
    </w:p>
    <w:p>
      <w:pPr>
        <w:numPr>
          <w:ilvl w:val="0"/>
          <w:numId w:val="0"/>
        </w:numPr>
        <w:topLinePunct/>
        <w:spacing w:line="360" w:lineRule="auto"/>
        <w:ind w:firstLine="480" w:firstLineChars="200"/>
        <w:outlineLvl w:val="1"/>
        <w:rPr>
          <w:rFonts w:hint="default" w:cs="Times New Roman"/>
          <w:kern w:val="2"/>
          <w:sz w:val="24"/>
          <w:szCs w:val="24"/>
          <w:lang w:val="en-US" w:eastAsia="zh-CN" w:bidi="ar-SA"/>
        </w:rPr>
      </w:pPr>
      <w:r>
        <w:rPr>
          <w:rFonts w:hint="default" w:cs="Times New Roman"/>
          <w:kern w:val="2"/>
          <w:sz w:val="24"/>
          <w:szCs w:val="24"/>
          <w:lang w:val="en-US" w:eastAsia="zh-CN" w:bidi="ar-SA"/>
        </w:rPr>
        <w:t xml:space="preserve">防护等级：IP67; </w:t>
      </w:r>
    </w:p>
    <w:p>
      <w:pPr>
        <w:numPr>
          <w:ilvl w:val="0"/>
          <w:numId w:val="0"/>
        </w:numPr>
        <w:topLinePunct/>
        <w:spacing w:line="360" w:lineRule="auto"/>
        <w:ind w:firstLine="480" w:firstLineChars="200"/>
        <w:outlineLvl w:val="1"/>
        <w:rPr>
          <w:rFonts w:hint="default" w:cs="Times New Roman"/>
          <w:kern w:val="2"/>
          <w:sz w:val="24"/>
          <w:szCs w:val="24"/>
          <w:lang w:val="en-US" w:eastAsia="zh-CN" w:bidi="ar-SA"/>
        </w:rPr>
      </w:pPr>
      <w:r>
        <w:rPr>
          <w:rFonts w:hint="default" w:cs="Times New Roman"/>
          <w:kern w:val="2"/>
          <w:sz w:val="24"/>
          <w:szCs w:val="24"/>
          <w:lang w:val="en-US" w:eastAsia="zh-CN" w:bidi="ar-SA"/>
        </w:rPr>
        <w:t xml:space="preserve">使用寿命：20000+； </w:t>
      </w:r>
    </w:p>
    <w:p>
      <w:pPr>
        <w:numPr>
          <w:ilvl w:val="0"/>
          <w:numId w:val="0"/>
        </w:numPr>
        <w:topLinePunct/>
        <w:spacing w:line="360" w:lineRule="auto"/>
        <w:ind w:firstLine="480" w:firstLineChars="200"/>
        <w:outlineLvl w:val="1"/>
        <w:rPr>
          <w:rFonts w:hint="default" w:cs="Times New Roman"/>
          <w:kern w:val="2"/>
          <w:sz w:val="24"/>
          <w:szCs w:val="24"/>
          <w:lang w:val="en-US" w:eastAsia="zh-CN" w:bidi="ar-SA"/>
        </w:rPr>
      </w:pPr>
      <w:r>
        <w:rPr>
          <w:rFonts w:hint="default" w:cs="Times New Roman"/>
          <w:kern w:val="2"/>
          <w:sz w:val="24"/>
          <w:szCs w:val="24"/>
          <w:lang w:val="en-US" w:eastAsia="zh-CN" w:bidi="ar-SA"/>
        </w:rPr>
        <w:t xml:space="preserve">功耗不大于 15w； </w:t>
      </w:r>
    </w:p>
    <w:p>
      <w:pPr>
        <w:numPr>
          <w:ilvl w:val="0"/>
          <w:numId w:val="0"/>
        </w:numPr>
        <w:topLinePunct/>
        <w:spacing w:line="360" w:lineRule="auto"/>
        <w:ind w:firstLine="480" w:firstLineChars="200"/>
        <w:outlineLvl w:val="1"/>
        <w:rPr>
          <w:rFonts w:hint="default" w:cs="Times New Roman"/>
          <w:kern w:val="2"/>
          <w:sz w:val="24"/>
          <w:szCs w:val="24"/>
          <w:lang w:val="en-US" w:eastAsia="zh-CN" w:bidi="ar-SA"/>
        </w:rPr>
      </w:pPr>
      <w:r>
        <w:rPr>
          <w:rFonts w:hint="default" w:cs="Times New Roman"/>
          <w:kern w:val="2"/>
          <w:sz w:val="24"/>
          <w:szCs w:val="24"/>
          <w:lang w:val="en-US" w:eastAsia="zh-CN" w:bidi="ar-SA"/>
        </w:rPr>
        <w:t xml:space="preserve">承重不低于 300KG； </w:t>
      </w:r>
    </w:p>
    <w:p>
      <w:pPr>
        <w:numPr>
          <w:ilvl w:val="0"/>
          <w:numId w:val="0"/>
        </w:numPr>
        <w:topLinePunct/>
        <w:spacing w:line="360" w:lineRule="auto"/>
        <w:ind w:firstLine="480" w:firstLineChars="200"/>
        <w:outlineLvl w:val="1"/>
        <w:rPr>
          <w:rFonts w:hint="default" w:cs="Times New Roman"/>
          <w:kern w:val="2"/>
          <w:sz w:val="24"/>
          <w:szCs w:val="24"/>
          <w:lang w:val="en-US" w:eastAsia="zh-CN" w:bidi="ar-SA"/>
        </w:rPr>
      </w:pPr>
      <w:r>
        <w:rPr>
          <w:rFonts w:hint="default" w:cs="Times New Roman"/>
          <w:kern w:val="2"/>
          <w:sz w:val="24"/>
          <w:szCs w:val="24"/>
          <w:lang w:val="en-US" w:eastAsia="zh-CN" w:bidi="ar-SA"/>
        </w:rPr>
        <w:t xml:space="preserve">工作温度范围不低于-20℃-55℃。 </w:t>
      </w:r>
    </w:p>
    <w:p>
      <w:pPr>
        <w:numPr>
          <w:ilvl w:val="0"/>
          <w:numId w:val="0"/>
        </w:numPr>
        <w:topLinePunct/>
        <w:spacing w:line="360" w:lineRule="auto"/>
        <w:ind w:firstLine="480" w:firstLineChars="200"/>
        <w:outlineLvl w:val="1"/>
        <w:rPr>
          <w:rFonts w:hint="default" w:cs="Times New Roman"/>
          <w:kern w:val="2"/>
          <w:sz w:val="24"/>
          <w:szCs w:val="24"/>
          <w:lang w:val="en-US" w:eastAsia="zh-CN" w:bidi="ar-SA"/>
        </w:rPr>
      </w:pPr>
      <w:r>
        <w:rPr>
          <w:rFonts w:hint="default" w:cs="Times New Roman"/>
          <w:kern w:val="2"/>
          <w:sz w:val="24"/>
          <w:szCs w:val="24"/>
          <w:lang w:val="en-US" w:eastAsia="zh-CN" w:bidi="ar-SA"/>
        </w:rPr>
        <w:t xml:space="preserve">具有无极调光功能； </w:t>
      </w:r>
    </w:p>
    <w:p>
      <w:pPr>
        <w:numPr>
          <w:ilvl w:val="0"/>
          <w:numId w:val="0"/>
        </w:numPr>
        <w:topLinePunct/>
        <w:spacing w:line="360" w:lineRule="auto"/>
        <w:ind w:firstLine="480" w:firstLineChars="200"/>
        <w:outlineLvl w:val="1"/>
        <w:rPr>
          <w:rFonts w:hint="default" w:cs="Times New Roman"/>
          <w:kern w:val="2"/>
          <w:sz w:val="24"/>
          <w:szCs w:val="24"/>
          <w:lang w:val="en-US" w:eastAsia="zh-CN" w:bidi="ar-SA"/>
        </w:rPr>
      </w:pPr>
      <w:r>
        <w:rPr>
          <w:rFonts w:hint="default" w:cs="Times New Roman"/>
          <w:kern w:val="2"/>
          <w:sz w:val="24"/>
          <w:szCs w:val="24"/>
          <w:lang w:val="en-US" w:eastAsia="zh-CN" w:bidi="ar-SA"/>
        </w:rPr>
        <w:t xml:space="preserve">具备接收区域控制器控制指令的能力； " </w:t>
      </w:r>
    </w:p>
    <w:p>
      <w:pPr>
        <w:numPr>
          <w:ilvl w:val="0"/>
          <w:numId w:val="0"/>
        </w:numPr>
        <w:topLinePunct/>
        <w:spacing w:line="360" w:lineRule="auto"/>
        <w:ind w:firstLine="480" w:firstLineChars="200"/>
        <w:outlineLvl w:val="1"/>
        <w:rPr>
          <w:rFonts w:hint="default" w:cs="Times New Roman"/>
          <w:kern w:val="2"/>
          <w:sz w:val="24"/>
          <w:szCs w:val="24"/>
          <w:lang w:val="en-US" w:eastAsia="zh-CN" w:bidi="ar-SA"/>
        </w:rPr>
      </w:pPr>
      <w:r>
        <w:rPr>
          <w:rFonts w:hint="default" w:cs="Times New Roman"/>
          <w:kern w:val="2"/>
          <w:sz w:val="24"/>
          <w:szCs w:val="24"/>
          <w:lang w:val="en-US" w:eastAsia="zh-CN" w:bidi="ar-SA"/>
        </w:rPr>
        <w:t xml:space="preserve">电源 </w:t>
      </w:r>
    </w:p>
    <w:p>
      <w:pPr>
        <w:numPr>
          <w:ilvl w:val="0"/>
          <w:numId w:val="0"/>
        </w:numPr>
        <w:topLinePunct/>
        <w:spacing w:line="360" w:lineRule="auto"/>
        <w:ind w:firstLine="480" w:firstLineChars="200"/>
        <w:outlineLvl w:val="1"/>
        <w:rPr>
          <w:rFonts w:hint="default" w:cs="Times New Roman"/>
          <w:kern w:val="2"/>
          <w:sz w:val="24"/>
          <w:szCs w:val="24"/>
          <w:lang w:val="en-US" w:eastAsia="zh-CN" w:bidi="ar-SA"/>
        </w:rPr>
      </w:pPr>
      <w:r>
        <w:rPr>
          <w:rFonts w:hint="default" w:cs="Times New Roman"/>
          <w:kern w:val="2"/>
          <w:sz w:val="24"/>
          <w:szCs w:val="24"/>
          <w:lang w:val="en-US" w:eastAsia="zh-CN" w:bidi="ar-SA"/>
        </w:rPr>
        <w:t xml:space="preserve">输出： </w:t>
      </w:r>
    </w:p>
    <w:p>
      <w:pPr>
        <w:numPr>
          <w:ilvl w:val="0"/>
          <w:numId w:val="0"/>
        </w:numPr>
        <w:topLinePunct/>
        <w:spacing w:line="360" w:lineRule="auto"/>
        <w:ind w:firstLine="480" w:firstLineChars="200"/>
        <w:outlineLvl w:val="1"/>
        <w:rPr>
          <w:rFonts w:hint="default" w:cs="Times New Roman"/>
          <w:kern w:val="2"/>
          <w:sz w:val="24"/>
          <w:szCs w:val="24"/>
          <w:lang w:val="en-US" w:eastAsia="zh-CN" w:bidi="ar-SA"/>
        </w:rPr>
      </w:pPr>
      <w:r>
        <w:rPr>
          <w:rFonts w:hint="default" w:cs="Times New Roman"/>
          <w:kern w:val="2"/>
          <w:sz w:val="24"/>
          <w:szCs w:val="24"/>
          <w:lang w:val="en-US" w:eastAsia="zh-CN" w:bidi="ar-SA"/>
        </w:rPr>
        <w:t xml:space="preserve">直流输出 24V； </w:t>
      </w:r>
    </w:p>
    <w:p>
      <w:pPr>
        <w:numPr>
          <w:ilvl w:val="0"/>
          <w:numId w:val="0"/>
        </w:numPr>
        <w:topLinePunct/>
        <w:spacing w:line="360" w:lineRule="auto"/>
        <w:ind w:firstLine="480" w:firstLineChars="200"/>
        <w:outlineLvl w:val="1"/>
        <w:rPr>
          <w:rFonts w:hint="default" w:cs="Times New Roman"/>
          <w:kern w:val="2"/>
          <w:sz w:val="24"/>
          <w:szCs w:val="24"/>
          <w:lang w:val="en-US" w:eastAsia="zh-CN" w:bidi="ar-SA"/>
        </w:rPr>
      </w:pPr>
      <w:r>
        <w:rPr>
          <w:rFonts w:hint="default" w:cs="Times New Roman"/>
          <w:kern w:val="2"/>
          <w:sz w:val="24"/>
          <w:szCs w:val="24"/>
          <w:lang w:val="en-US" w:eastAsia="zh-CN" w:bidi="ar-SA"/>
        </w:rPr>
        <w:t xml:space="preserve">电压精度±5%； </w:t>
      </w:r>
    </w:p>
    <w:p>
      <w:pPr>
        <w:numPr>
          <w:ilvl w:val="0"/>
          <w:numId w:val="0"/>
        </w:numPr>
        <w:topLinePunct/>
        <w:spacing w:line="360" w:lineRule="auto"/>
        <w:ind w:firstLine="480" w:firstLineChars="200"/>
        <w:outlineLvl w:val="1"/>
        <w:rPr>
          <w:rFonts w:hint="default" w:cs="Times New Roman"/>
          <w:kern w:val="2"/>
          <w:sz w:val="24"/>
          <w:szCs w:val="24"/>
          <w:lang w:val="en-US" w:eastAsia="zh-CN" w:bidi="ar-SA"/>
        </w:rPr>
      </w:pPr>
      <w:r>
        <w:rPr>
          <w:rFonts w:hint="default" w:cs="Times New Roman"/>
          <w:kern w:val="2"/>
          <w:sz w:val="24"/>
          <w:szCs w:val="24"/>
          <w:lang w:val="en-US" w:eastAsia="zh-CN" w:bidi="ar-SA"/>
        </w:rPr>
        <w:t xml:space="preserve">线性调整率±3%； </w:t>
      </w:r>
    </w:p>
    <w:p>
      <w:pPr>
        <w:numPr>
          <w:ilvl w:val="0"/>
          <w:numId w:val="0"/>
        </w:numPr>
        <w:topLinePunct/>
        <w:spacing w:line="360" w:lineRule="auto"/>
        <w:ind w:firstLine="480" w:firstLineChars="200"/>
        <w:outlineLvl w:val="1"/>
        <w:rPr>
          <w:rFonts w:hint="default" w:cs="Times New Roman"/>
          <w:kern w:val="2"/>
          <w:sz w:val="24"/>
          <w:szCs w:val="24"/>
          <w:lang w:val="en-US" w:eastAsia="zh-CN" w:bidi="ar-SA"/>
        </w:rPr>
      </w:pPr>
      <w:r>
        <w:rPr>
          <w:rFonts w:hint="default" w:cs="Times New Roman"/>
          <w:kern w:val="2"/>
          <w:sz w:val="24"/>
          <w:szCs w:val="24"/>
          <w:lang w:val="en-US" w:eastAsia="zh-CN" w:bidi="ar-SA"/>
        </w:rPr>
        <w:t xml:space="preserve">负载调整率±5%； </w:t>
      </w:r>
    </w:p>
    <w:p>
      <w:pPr>
        <w:numPr>
          <w:ilvl w:val="0"/>
          <w:numId w:val="0"/>
        </w:numPr>
        <w:topLinePunct/>
        <w:spacing w:line="360" w:lineRule="auto"/>
        <w:ind w:firstLine="480" w:firstLineChars="200"/>
        <w:outlineLvl w:val="1"/>
        <w:rPr>
          <w:rFonts w:hint="default" w:cs="Times New Roman"/>
          <w:kern w:val="2"/>
          <w:sz w:val="24"/>
          <w:szCs w:val="24"/>
          <w:lang w:val="en-US" w:eastAsia="zh-CN" w:bidi="ar-SA"/>
        </w:rPr>
      </w:pPr>
      <w:r>
        <w:rPr>
          <w:rFonts w:hint="default" w:cs="Times New Roman"/>
          <w:kern w:val="2"/>
          <w:sz w:val="24"/>
          <w:szCs w:val="24"/>
          <w:lang w:val="en-US" w:eastAsia="zh-CN" w:bidi="ar-SA"/>
        </w:rPr>
        <w:t xml:space="preserve">输入： </w:t>
      </w:r>
    </w:p>
    <w:p>
      <w:pPr>
        <w:numPr>
          <w:ilvl w:val="0"/>
          <w:numId w:val="0"/>
        </w:numPr>
        <w:topLinePunct/>
        <w:spacing w:line="360" w:lineRule="auto"/>
        <w:ind w:firstLine="480" w:firstLineChars="200"/>
        <w:outlineLvl w:val="1"/>
        <w:rPr>
          <w:rFonts w:hint="default" w:cs="Times New Roman"/>
          <w:kern w:val="2"/>
          <w:sz w:val="24"/>
          <w:szCs w:val="24"/>
          <w:lang w:val="en-US" w:eastAsia="zh-CN" w:bidi="ar-SA"/>
        </w:rPr>
      </w:pPr>
      <w:r>
        <w:rPr>
          <w:rFonts w:hint="default" w:cs="Times New Roman"/>
          <w:kern w:val="2"/>
          <w:sz w:val="24"/>
          <w:szCs w:val="24"/>
          <w:lang w:val="en-US" w:eastAsia="zh-CN" w:bidi="ar-SA"/>
        </w:rPr>
        <w:t xml:space="preserve">电压输入范围：AC110V/265V； </w:t>
      </w:r>
    </w:p>
    <w:p>
      <w:pPr>
        <w:numPr>
          <w:ilvl w:val="0"/>
          <w:numId w:val="0"/>
        </w:numPr>
        <w:topLinePunct/>
        <w:spacing w:line="360" w:lineRule="auto"/>
        <w:ind w:firstLine="480" w:firstLineChars="200"/>
        <w:outlineLvl w:val="1"/>
        <w:rPr>
          <w:rFonts w:hint="default" w:cs="Times New Roman"/>
          <w:kern w:val="2"/>
          <w:sz w:val="24"/>
          <w:szCs w:val="24"/>
          <w:lang w:val="en-US" w:eastAsia="zh-CN" w:bidi="ar-SA"/>
        </w:rPr>
      </w:pPr>
      <w:r>
        <w:rPr>
          <w:rFonts w:hint="default" w:cs="Times New Roman"/>
          <w:kern w:val="2"/>
          <w:sz w:val="24"/>
          <w:szCs w:val="24"/>
          <w:lang w:val="en-US" w:eastAsia="zh-CN" w:bidi="ar-SA"/>
        </w:rPr>
        <w:t xml:space="preserve">频率范围：47-63Hz； </w:t>
      </w:r>
    </w:p>
    <w:p>
      <w:pPr>
        <w:numPr>
          <w:ilvl w:val="0"/>
          <w:numId w:val="0"/>
        </w:numPr>
        <w:topLinePunct/>
        <w:spacing w:line="360" w:lineRule="auto"/>
        <w:ind w:firstLine="480" w:firstLineChars="200"/>
        <w:outlineLvl w:val="1"/>
        <w:rPr>
          <w:rFonts w:hint="default" w:cs="Times New Roman"/>
          <w:kern w:val="2"/>
          <w:sz w:val="24"/>
          <w:szCs w:val="24"/>
          <w:lang w:val="en-US" w:eastAsia="zh-CN" w:bidi="ar-SA"/>
        </w:rPr>
      </w:pPr>
      <w:r>
        <w:rPr>
          <w:rFonts w:hint="default" w:cs="Times New Roman"/>
          <w:kern w:val="2"/>
          <w:sz w:val="24"/>
          <w:szCs w:val="24"/>
          <w:lang w:val="en-US" w:eastAsia="zh-CN" w:bidi="ar-SA"/>
        </w:rPr>
        <w:t xml:space="preserve">效率：不低于 85% </w:t>
      </w:r>
    </w:p>
    <w:p>
      <w:pPr>
        <w:numPr>
          <w:ilvl w:val="0"/>
          <w:numId w:val="0"/>
        </w:numPr>
        <w:topLinePunct/>
        <w:spacing w:line="360" w:lineRule="auto"/>
        <w:ind w:firstLine="480" w:firstLineChars="200"/>
        <w:outlineLvl w:val="1"/>
        <w:rPr>
          <w:rFonts w:hint="default" w:cs="Times New Roman"/>
          <w:kern w:val="2"/>
          <w:sz w:val="24"/>
          <w:szCs w:val="24"/>
          <w:lang w:val="en-US" w:eastAsia="zh-CN" w:bidi="ar-SA"/>
        </w:rPr>
      </w:pPr>
      <w:r>
        <w:rPr>
          <w:rFonts w:hint="default" w:cs="Times New Roman"/>
          <w:kern w:val="2"/>
          <w:sz w:val="24"/>
          <w:szCs w:val="24"/>
          <w:lang w:val="en-US" w:eastAsia="zh-CN" w:bidi="ar-SA"/>
        </w:rPr>
        <w:t xml:space="preserve">具备过载保护及短路保护功能； </w:t>
      </w:r>
    </w:p>
    <w:p>
      <w:pPr>
        <w:numPr>
          <w:ilvl w:val="0"/>
          <w:numId w:val="0"/>
        </w:numPr>
        <w:topLinePunct/>
        <w:spacing w:line="360" w:lineRule="auto"/>
        <w:ind w:firstLine="480" w:firstLineChars="200"/>
        <w:outlineLvl w:val="1"/>
        <w:rPr>
          <w:rFonts w:hint="default" w:cs="Times New Roman"/>
          <w:kern w:val="2"/>
          <w:sz w:val="24"/>
          <w:szCs w:val="24"/>
          <w:lang w:val="en-US" w:eastAsia="zh-CN" w:bidi="ar-SA"/>
        </w:rPr>
      </w:pPr>
      <w:r>
        <w:rPr>
          <w:rFonts w:hint="default" w:cs="Times New Roman"/>
          <w:kern w:val="2"/>
          <w:sz w:val="24"/>
          <w:szCs w:val="24"/>
          <w:lang w:val="en-US" w:eastAsia="zh-CN" w:bidi="ar-SA"/>
        </w:rPr>
        <w:t xml:space="preserve">工作温度：-10℃-45℃； </w:t>
      </w:r>
    </w:p>
    <w:p>
      <w:pPr>
        <w:numPr>
          <w:ilvl w:val="0"/>
          <w:numId w:val="0"/>
        </w:numPr>
        <w:topLinePunct/>
        <w:spacing w:line="360" w:lineRule="auto"/>
        <w:ind w:firstLine="480" w:firstLineChars="200"/>
        <w:outlineLvl w:val="1"/>
        <w:rPr>
          <w:rFonts w:hint="default" w:cs="Times New Roman"/>
          <w:kern w:val="2"/>
          <w:sz w:val="24"/>
          <w:szCs w:val="24"/>
          <w:lang w:val="en-US" w:eastAsia="zh-CN" w:bidi="ar-SA"/>
        </w:rPr>
      </w:pPr>
      <w:r>
        <w:rPr>
          <w:rFonts w:hint="default" w:cs="Times New Roman"/>
          <w:kern w:val="2"/>
          <w:sz w:val="24"/>
          <w:szCs w:val="24"/>
          <w:lang w:val="en-US" w:eastAsia="zh-CN" w:bidi="ar-SA"/>
        </w:rPr>
        <w:t xml:space="preserve">工作湿度：20-90%RH； " </w:t>
      </w:r>
    </w:p>
    <w:p>
      <w:pPr>
        <w:numPr>
          <w:ilvl w:val="0"/>
          <w:numId w:val="0"/>
        </w:numPr>
        <w:topLinePunct/>
        <w:spacing w:line="360" w:lineRule="auto"/>
        <w:ind w:firstLine="480" w:firstLineChars="200"/>
        <w:outlineLvl w:val="1"/>
        <w:rPr>
          <w:rFonts w:hint="default" w:cs="Times New Roman"/>
          <w:kern w:val="2"/>
          <w:sz w:val="24"/>
          <w:szCs w:val="24"/>
          <w:lang w:val="en-US" w:eastAsia="zh-CN" w:bidi="ar-SA"/>
        </w:rPr>
      </w:pPr>
      <w:r>
        <w:rPr>
          <w:rFonts w:hint="default" w:cs="Times New Roman"/>
          <w:kern w:val="2"/>
          <w:sz w:val="24"/>
          <w:szCs w:val="24"/>
          <w:lang w:val="en-US" w:eastAsia="zh-CN" w:bidi="ar-SA"/>
        </w:rPr>
        <w:t xml:space="preserve">区域控制器 </w:t>
      </w:r>
    </w:p>
    <w:p>
      <w:pPr>
        <w:numPr>
          <w:ilvl w:val="0"/>
          <w:numId w:val="0"/>
        </w:numPr>
        <w:topLinePunct/>
        <w:spacing w:line="360" w:lineRule="auto"/>
        <w:ind w:firstLine="480" w:firstLineChars="200"/>
        <w:outlineLvl w:val="1"/>
        <w:rPr>
          <w:rFonts w:hint="default" w:cs="Times New Roman"/>
          <w:kern w:val="2"/>
          <w:sz w:val="24"/>
          <w:szCs w:val="24"/>
          <w:lang w:val="en-US" w:eastAsia="zh-CN" w:bidi="ar-SA"/>
        </w:rPr>
      </w:pPr>
      <w:r>
        <w:rPr>
          <w:rFonts w:hint="default" w:cs="Times New Roman"/>
          <w:kern w:val="2"/>
          <w:sz w:val="24"/>
          <w:szCs w:val="24"/>
          <w:lang w:val="en-US" w:eastAsia="zh-CN" w:bidi="ar-SA"/>
        </w:rPr>
        <w:t>采用单 CPU、双电源冗余架构，配置的 I/O、以太网、串口、电源模块须采用与 CPU 对应的同等级同系列产品，CPU 上不可集成 IO 点，以确保工程质量及整体系统的可靠性和可维护性。</w:t>
      </w:r>
    </w:p>
    <w:p>
      <w:pPr>
        <w:numPr>
          <w:ilvl w:val="0"/>
          <w:numId w:val="0"/>
        </w:numPr>
        <w:topLinePunct/>
        <w:spacing w:line="360" w:lineRule="auto"/>
        <w:ind w:firstLine="480" w:firstLineChars="200"/>
        <w:outlineLvl w:val="1"/>
        <w:rPr>
          <w:rFonts w:hint="eastAsia" w:cs="Times New Roman"/>
          <w:kern w:val="2"/>
          <w:sz w:val="24"/>
          <w:szCs w:val="24"/>
          <w:lang w:val="en-US" w:eastAsia="zh-CN" w:bidi="ar-SA"/>
        </w:rPr>
      </w:pPr>
      <w:r>
        <w:rPr>
          <w:rFonts w:hint="default" w:cs="Times New Roman"/>
          <w:kern w:val="2"/>
          <w:sz w:val="24"/>
          <w:szCs w:val="24"/>
          <w:lang w:val="en-US" w:eastAsia="zh-CN" w:bidi="ar-SA"/>
        </w:rPr>
        <w:t>804-5-1</w:t>
      </w:r>
      <w:r>
        <w:rPr>
          <w:rFonts w:hint="eastAsia" w:cs="Times New Roman"/>
          <w:kern w:val="2"/>
          <w:sz w:val="24"/>
          <w:szCs w:val="24"/>
          <w:lang w:val="en-US" w:eastAsia="zh-CN" w:bidi="ar-SA"/>
        </w:rPr>
        <w:t xml:space="preserve"> 雾灯</w:t>
      </w:r>
    </w:p>
    <w:p>
      <w:pPr>
        <w:numPr>
          <w:ilvl w:val="0"/>
          <w:numId w:val="0"/>
        </w:numPr>
        <w:topLinePunct/>
        <w:spacing w:line="360" w:lineRule="auto"/>
        <w:ind w:firstLine="480" w:firstLineChars="200"/>
        <w:outlineLvl w:val="1"/>
        <w:rPr>
          <w:rFonts w:hint="default" w:cs="Times New Roman"/>
          <w:kern w:val="2"/>
          <w:sz w:val="24"/>
          <w:szCs w:val="24"/>
          <w:lang w:val="en-US" w:eastAsia="zh-CN" w:bidi="ar-SA"/>
        </w:rPr>
      </w:pPr>
      <w:r>
        <w:rPr>
          <w:rFonts w:hint="default" w:cs="Times New Roman"/>
          <w:kern w:val="2"/>
          <w:sz w:val="24"/>
          <w:szCs w:val="24"/>
          <w:lang w:val="en-US" w:eastAsia="zh-CN" w:bidi="ar-SA"/>
        </w:rPr>
        <w:t>显示尺寸：≥φ200㎜；光源：石英卤化物光源</w:t>
      </w:r>
      <w:r>
        <w:rPr>
          <w:rFonts w:hint="eastAsia" w:cs="Times New Roman"/>
          <w:kern w:val="2"/>
          <w:sz w:val="24"/>
          <w:szCs w:val="24"/>
          <w:lang w:val="en-US" w:eastAsia="zh-CN" w:bidi="ar-SA"/>
        </w:rPr>
        <w:t>，含安装线材。</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snapToGrid w:val="0"/>
          <w:kern w:val="0"/>
          <w:sz w:val="24"/>
          <w:szCs w:val="24"/>
          <w:lang w:val="en-US" w:eastAsia="zh-CN" w:bidi="ar-SA"/>
        </w:rPr>
        <w:t>5</w:t>
      </w:r>
      <w:r>
        <w:rPr>
          <w:rFonts w:hint="default" w:ascii="Times New Roman" w:hAnsi="Times New Roman" w:eastAsia="宋体" w:cs="Times New Roman"/>
          <w:b/>
          <w:snapToGrid w:val="0"/>
          <w:kern w:val="0"/>
          <w:sz w:val="24"/>
          <w:szCs w:val="24"/>
          <w:lang w:val="en-US" w:eastAsia="zh-CN" w:bidi="ar-SA"/>
        </w:rPr>
        <w:t>.</w:t>
      </w: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w:t>
      </w:r>
      <w:r>
        <w:rPr>
          <w:rFonts w:hint="eastAsia" w:cs="Times New Roman"/>
          <w:color w:val="000000"/>
          <w:sz w:val="24"/>
          <w:szCs w:val="24"/>
          <w:lang w:val="en-US" w:eastAsia="zh-CN"/>
        </w:rPr>
        <w:t>+营业执照</w:t>
      </w:r>
      <w:r>
        <w:rPr>
          <w:rFonts w:hint="default" w:ascii="Times New Roman" w:hAnsi="Times New Roman" w:eastAsia="宋体" w:cs="Times New Roman"/>
          <w:color w:val="000000"/>
          <w:sz w:val="24"/>
          <w:szCs w:val="24"/>
        </w:rPr>
        <w:t>在</w:t>
      </w:r>
      <w:r>
        <w:rPr>
          <w:rFonts w:hint="default" w:ascii="Times New Roman" w:hAnsi="Times New Roman" w:eastAsia="宋体" w:cs="Times New Roman"/>
          <w:color w:val="000000"/>
          <w:sz w:val="24"/>
          <w:szCs w:val="24"/>
          <w:u w:val="single"/>
        </w:rPr>
        <w:t>202</w:t>
      </w:r>
      <w:r>
        <w:rPr>
          <w:rFonts w:hint="eastAsia" w:cs="Times New Roman"/>
          <w:color w:val="000000"/>
          <w:sz w:val="24"/>
          <w:szCs w:val="24"/>
          <w:u w:val="single"/>
          <w:lang w:val="en-US" w:eastAsia="zh-CN"/>
        </w:rPr>
        <w:t>4</w:t>
      </w:r>
      <w:r>
        <w:rPr>
          <w:rFonts w:hint="default" w:ascii="Times New Roman" w:hAnsi="Times New Roman" w:eastAsia="宋体" w:cs="Times New Roman"/>
          <w:color w:val="000000"/>
          <w:sz w:val="24"/>
          <w:szCs w:val="24"/>
          <w:u w:val="single"/>
        </w:rPr>
        <w:t>年</w:t>
      </w:r>
      <w:r>
        <w:rPr>
          <w:rFonts w:hint="eastAsia" w:cs="Times New Roman"/>
          <w:color w:val="000000"/>
          <w:sz w:val="24"/>
          <w:szCs w:val="24"/>
          <w:u w:val="single"/>
          <w:lang w:val="en-US" w:eastAsia="zh-CN"/>
        </w:rPr>
        <w:t>3</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2</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12</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1263635487</w:t>
      </w:r>
      <w:r>
        <w:rPr>
          <w:rFonts w:hint="default" w:ascii="Times New Roman" w:hAnsi="Times New Roman" w:eastAsia="宋体" w:cs="Times New Roman"/>
          <w:snapToGrid w:val="0"/>
          <w:color w:val="000000"/>
          <w:kern w:val="0"/>
          <w:sz w:val="24"/>
          <w:szCs w:val="24"/>
        </w:rPr>
        <w:t>@</w:t>
      </w:r>
      <w:r>
        <w:rPr>
          <w:rFonts w:hint="eastAsia" w:cs="Times New Roman"/>
          <w:snapToGrid w:val="0"/>
          <w:color w:val="000000"/>
          <w:kern w:val="0"/>
          <w:sz w:val="24"/>
          <w:szCs w:val="24"/>
          <w:lang w:val="en-US" w:eastAsia="zh-CN"/>
        </w:rPr>
        <w:t>QQ</w:t>
      </w:r>
      <w:r>
        <w:rPr>
          <w:rFonts w:hint="default" w:ascii="Times New Roman" w:hAnsi="Times New Roman" w:eastAsia="宋体" w:cs="Times New Roman"/>
          <w:snapToGrid w:val="0"/>
          <w:color w:val="000000"/>
          <w:kern w:val="0"/>
          <w:sz w:val="24"/>
          <w:szCs w:val="24"/>
        </w:rPr>
        <w:t>.com，</w:t>
      </w:r>
      <w:r>
        <w:rPr>
          <w:rFonts w:hint="eastAsia"/>
          <w:snapToGrid w:val="0"/>
          <w:color w:val="000000"/>
          <w:kern w:val="0"/>
          <w:sz w:val="24"/>
          <w:lang w:val="en-US" w:eastAsia="zh-CN"/>
        </w:rPr>
        <w:t>回执命名“</w:t>
      </w:r>
      <w:r>
        <w:rPr>
          <w:rFonts w:hint="eastAsia"/>
          <w:snapToGrid w:val="0"/>
          <w:color w:val="FF0000"/>
          <w:kern w:val="0"/>
          <w:sz w:val="24"/>
          <w:lang w:val="en-US" w:eastAsia="zh-CN"/>
        </w:rPr>
        <w:t>XX</w:t>
      </w:r>
      <w:r>
        <w:rPr>
          <w:rFonts w:hint="eastAsia" w:eastAsia="宋体"/>
          <w:snapToGrid w:val="0"/>
          <w:color w:val="FF0000"/>
          <w:kern w:val="0"/>
          <w:sz w:val="24"/>
          <w:lang w:val="en-US" w:eastAsia="zh-CN"/>
        </w:rPr>
        <w:t>项目</w:t>
      </w:r>
      <w:r>
        <w:rPr>
          <w:rFonts w:hint="eastAsia"/>
          <w:snapToGrid w:val="0"/>
          <w:color w:val="FF0000"/>
          <w:kern w:val="0"/>
          <w:sz w:val="24"/>
          <w:lang w:val="en-US" w:eastAsia="zh-CN"/>
        </w:rPr>
        <w:t>xx采购xx供应商响应回执</w:t>
      </w:r>
      <w:r>
        <w:rPr>
          <w:rFonts w:hint="eastAsia"/>
          <w:snapToGrid w:val="0"/>
          <w:color w:val="000000"/>
          <w:kern w:val="0"/>
          <w:sz w:val="24"/>
          <w:lang w:val="en-US" w:eastAsia="zh-CN"/>
        </w:rPr>
        <w:t>”</w:t>
      </w:r>
      <w:r>
        <w:rPr>
          <w:rFonts w:hint="default" w:ascii="Times New Roman" w:hAnsi="Times New Roman" w:eastAsia="宋体" w:cs="Times New Roman"/>
          <w:snapToGrid w:val="0"/>
          <w:color w:val="000000"/>
          <w:kern w:val="0"/>
          <w:sz w:val="24"/>
          <w:szCs w:val="24"/>
        </w:rPr>
        <w:t>逾期无效。采购人在收到响应回执后根据供应商信用信誉等情况进行讨论提议，不再另行发布采购公告。</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bookmarkStart w:id="0" w:name="_Toc332793891"/>
      <w:bookmarkStart w:id="1" w:name="_Toc332793818"/>
      <w:bookmarkStart w:id="2" w:name="_Toc332965960"/>
      <w:r>
        <w:rPr>
          <w:rFonts w:hint="eastAsia" w:cs="Times New Roman"/>
          <w:b/>
          <w:snapToGrid w:val="0"/>
          <w:kern w:val="0"/>
          <w:sz w:val="24"/>
          <w:szCs w:val="24"/>
          <w:lang w:val="en-US" w:eastAsia="zh-CN" w:bidi="ar-SA"/>
        </w:rPr>
        <w:t>6</w:t>
      </w:r>
      <w:r>
        <w:rPr>
          <w:rFonts w:hint="default" w:ascii="Times New Roman" w:hAnsi="Times New Roman" w:eastAsia="宋体" w:cs="Times New Roman"/>
          <w:b/>
          <w:snapToGrid w:val="0"/>
          <w:kern w:val="0"/>
          <w:sz w:val="24"/>
          <w:szCs w:val="24"/>
          <w:lang w:val="en-US" w:eastAsia="zh-CN" w:bidi="ar-SA"/>
        </w:rPr>
        <w:t>.</w:t>
      </w:r>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val="en-US" w:eastAsia="zh-CN"/>
        </w:rPr>
        <w:t>梁</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w:t>
      </w:r>
      <w:r>
        <w:rPr>
          <w:rFonts w:hint="eastAsia" w:cs="Times New Roman"/>
          <w:color w:val="000000"/>
          <w:sz w:val="24"/>
          <w:szCs w:val="24"/>
          <w:lang w:val="en-US" w:eastAsia="zh-CN"/>
        </w:rPr>
        <w:t>4</w:t>
      </w:r>
      <w:r>
        <w:rPr>
          <w:rFonts w:hint="default" w:ascii="Times New Roman" w:hAnsi="Times New Roman" w:eastAsia="宋体" w:cs="Times New Roman"/>
          <w:color w:val="000000"/>
          <w:sz w:val="24"/>
          <w:szCs w:val="24"/>
        </w:rPr>
        <w:t>年</w:t>
      </w:r>
      <w:r>
        <w:rPr>
          <w:rFonts w:hint="eastAsia" w:cs="Times New Roman"/>
          <w:color w:val="000000"/>
          <w:sz w:val="24"/>
          <w:szCs w:val="24"/>
          <w:lang w:val="en-US" w:eastAsia="zh-CN"/>
        </w:rPr>
        <w:t>2</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28</w:t>
      </w:r>
      <w:r>
        <w:rPr>
          <w:rFonts w:hint="default" w:ascii="Times New Roman" w:hAnsi="Times New Roman" w:eastAsia="宋体" w:cs="Times New Roman"/>
          <w:color w:val="000000"/>
          <w:sz w:val="24"/>
          <w:szCs w:val="24"/>
        </w:rPr>
        <w:t>日</w:t>
      </w:r>
    </w:p>
    <w:sectPr>
      <w:pgSz w:w="11906" w:h="16838"/>
      <w:pgMar w:top="986" w:right="1800" w:bottom="93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Book Antiqua">
    <w:altName w:val="Segoe Print"/>
    <w:panose1 w:val="02040602050305030304"/>
    <w:charset w:val="00"/>
    <w:family w:val="roman"/>
    <w:pitch w:val="default"/>
    <w:sig w:usb0="00000000"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C06D5F"/>
    <w:multiLevelType w:val="singleLevel"/>
    <w:tmpl w:val="CEC06D5F"/>
    <w:lvl w:ilvl="0" w:tentative="0">
      <w:start w:val="1"/>
      <w:numFmt w:val="decimal"/>
      <w:suff w:val="nothing"/>
      <w:lvlText w:val="（%1）"/>
      <w:lvlJc w:val="left"/>
    </w:lvl>
  </w:abstractNum>
  <w:abstractNum w:abstractNumId="1">
    <w:nsid w:val="F2720294"/>
    <w:multiLevelType w:val="singleLevel"/>
    <w:tmpl w:val="F2720294"/>
    <w:lvl w:ilvl="0" w:tentative="0">
      <w:start w:val="4"/>
      <w:numFmt w:val="decimal"/>
      <w:lvlText w:val="%1."/>
      <w:lvlJc w:val="left"/>
      <w:pPr>
        <w:tabs>
          <w:tab w:val="left" w:pos="312"/>
        </w:tabs>
      </w:pPr>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2"/>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3"/>
      <w:suff w:val="nothing"/>
      <w:lvlText w:val="%1.%2.%3 "/>
      <w:lvlJc w:val="left"/>
      <w:pPr>
        <w:ind w:left="142" w:firstLine="0"/>
      </w:pPr>
    </w:lvl>
    <w:lvl w:ilvl="3" w:tentative="0">
      <w:start w:val="1"/>
      <w:numFmt w:val="decimal"/>
      <w:lvlRestart w:val="1"/>
      <w:pStyle w:val="4"/>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5"/>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6"/>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30"/>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6"/>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7"/>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5"/>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2"/>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3"/>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4"/>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9"/>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1"/>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7"/>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8"/>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lhMWJlYmM4MDMyNDRkMGJkZWNiNzQxZDViNzAwYTE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3393105"/>
    <w:rsid w:val="03563CB7"/>
    <w:rsid w:val="03BE77F9"/>
    <w:rsid w:val="046B1D8B"/>
    <w:rsid w:val="046E3765"/>
    <w:rsid w:val="05D76CA1"/>
    <w:rsid w:val="05FC2DA4"/>
    <w:rsid w:val="06622CB2"/>
    <w:rsid w:val="06A411DD"/>
    <w:rsid w:val="072D08E0"/>
    <w:rsid w:val="083A6841"/>
    <w:rsid w:val="08CF1E16"/>
    <w:rsid w:val="08EE3671"/>
    <w:rsid w:val="09117B80"/>
    <w:rsid w:val="09293C1C"/>
    <w:rsid w:val="092A167C"/>
    <w:rsid w:val="095E1615"/>
    <w:rsid w:val="0A310FDA"/>
    <w:rsid w:val="0A634ED8"/>
    <w:rsid w:val="0A69025B"/>
    <w:rsid w:val="0AB539B9"/>
    <w:rsid w:val="0B867103"/>
    <w:rsid w:val="0C397098"/>
    <w:rsid w:val="0DA26991"/>
    <w:rsid w:val="0E3A4B3B"/>
    <w:rsid w:val="0ECB4993"/>
    <w:rsid w:val="112A7044"/>
    <w:rsid w:val="123D1FC9"/>
    <w:rsid w:val="127F2BCB"/>
    <w:rsid w:val="12ED5CBA"/>
    <w:rsid w:val="140B63F8"/>
    <w:rsid w:val="142F0FB1"/>
    <w:rsid w:val="14C447F8"/>
    <w:rsid w:val="156452D7"/>
    <w:rsid w:val="15983E83"/>
    <w:rsid w:val="15C04499"/>
    <w:rsid w:val="176F6C9D"/>
    <w:rsid w:val="17936E30"/>
    <w:rsid w:val="179D22A5"/>
    <w:rsid w:val="185145F5"/>
    <w:rsid w:val="18606150"/>
    <w:rsid w:val="18E02F28"/>
    <w:rsid w:val="19B32EC3"/>
    <w:rsid w:val="19EC0A79"/>
    <w:rsid w:val="1A786886"/>
    <w:rsid w:val="1C654B13"/>
    <w:rsid w:val="1CC7757C"/>
    <w:rsid w:val="1D5379E4"/>
    <w:rsid w:val="1DC008E5"/>
    <w:rsid w:val="1DD86320"/>
    <w:rsid w:val="1EFF5193"/>
    <w:rsid w:val="1F3E25C9"/>
    <w:rsid w:val="1F8905C9"/>
    <w:rsid w:val="1F9A0F77"/>
    <w:rsid w:val="1FEF3071"/>
    <w:rsid w:val="20205D7D"/>
    <w:rsid w:val="2031368A"/>
    <w:rsid w:val="2039362C"/>
    <w:rsid w:val="23A93537"/>
    <w:rsid w:val="24875F4B"/>
    <w:rsid w:val="25D6438C"/>
    <w:rsid w:val="25E92311"/>
    <w:rsid w:val="26445799"/>
    <w:rsid w:val="28126A09"/>
    <w:rsid w:val="29325D7D"/>
    <w:rsid w:val="29B42C36"/>
    <w:rsid w:val="2A6117E0"/>
    <w:rsid w:val="2A8940C2"/>
    <w:rsid w:val="2A9C2048"/>
    <w:rsid w:val="2AD229EB"/>
    <w:rsid w:val="2B5411B0"/>
    <w:rsid w:val="2B975488"/>
    <w:rsid w:val="2BB05A29"/>
    <w:rsid w:val="2BBE1469"/>
    <w:rsid w:val="2CDE1CDD"/>
    <w:rsid w:val="2D393A69"/>
    <w:rsid w:val="2E0860D1"/>
    <w:rsid w:val="2E402CEA"/>
    <w:rsid w:val="2E5A20BA"/>
    <w:rsid w:val="2E7A2000"/>
    <w:rsid w:val="2ECB5FE2"/>
    <w:rsid w:val="31F44517"/>
    <w:rsid w:val="337322A8"/>
    <w:rsid w:val="33923E93"/>
    <w:rsid w:val="33D53A32"/>
    <w:rsid w:val="34403FA4"/>
    <w:rsid w:val="34DB5F68"/>
    <w:rsid w:val="35912415"/>
    <w:rsid w:val="371778DF"/>
    <w:rsid w:val="37E62326"/>
    <w:rsid w:val="38A511DA"/>
    <w:rsid w:val="39056DD9"/>
    <w:rsid w:val="3A1B67E7"/>
    <w:rsid w:val="3A7D6982"/>
    <w:rsid w:val="3C047712"/>
    <w:rsid w:val="3C996FEB"/>
    <w:rsid w:val="3CCC5DA0"/>
    <w:rsid w:val="3CD77495"/>
    <w:rsid w:val="3D4445A5"/>
    <w:rsid w:val="3DC27043"/>
    <w:rsid w:val="3DD1395F"/>
    <w:rsid w:val="3DD51301"/>
    <w:rsid w:val="3E8C010F"/>
    <w:rsid w:val="3EFD65C9"/>
    <w:rsid w:val="400E2C48"/>
    <w:rsid w:val="403A795B"/>
    <w:rsid w:val="4044389B"/>
    <w:rsid w:val="40C03B09"/>
    <w:rsid w:val="41AC1714"/>
    <w:rsid w:val="42100EF9"/>
    <w:rsid w:val="42474B43"/>
    <w:rsid w:val="425B1D23"/>
    <w:rsid w:val="42925DB2"/>
    <w:rsid w:val="42D40179"/>
    <w:rsid w:val="434B112E"/>
    <w:rsid w:val="443D1A3B"/>
    <w:rsid w:val="4504286C"/>
    <w:rsid w:val="46C97C03"/>
    <w:rsid w:val="471A188F"/>
    <w:rsid w:val="472B5FAC"/>
    <w:rsid w:val="48AD79E8"/>
    <w:rsid w:val="48F03340"/>
    <w:rsid w:val="49032DD0"/>
    <w:rsid w:val="4908486B"/>
    <w:rsid w:val="49B06B1E"/>
    <w:rsid w:val="49DC5C4D"/>
    <w:rsid w:val="4A44006F"/>
    <w:rsid w:val="4B3450B1"/>
    <w:rsid w:val="4BFB311F"/>
    <w:rsid w:val="4C7148A9"/>
    <w:rsid w:val="4D41787A"/>
    <w:rsid w:val="4D580628"/>
    <w:rsid w:val="4DA31AFF"/>
    <w:rsid w:val="4DB34E2F"/>
    <w:rsid w:val="4DB87F36"/>
    <w:rsid w:val="4E082D04"/>
    <w:rsid w:val="50DE6FEF"/>
    <w:rsid w:val="513444D8"/>
    <w:rsid w:val="515756D7"/>
    <w:rsid w:val="52871060"/>
    <w:rsid w:val="52ED4007"/>
    <w:rsid w:val="54210D44"/>
    <w:rsid w:val="54227B28"/>
    <w:rsid w:val="55A27C63"/>
    <w:rsid w:val="55A710AE"/>
    <w:rsid w:val="55B35218"/>
    <w:rsid w:val="560F1B9D"/>
    <w:rsid w:val="576320A6"/>
    <w:rsid w:val="57BF2D4E"/>
    <w:rsid w:val="58B74CBC"/>
    <w:rsid w:val="59387A89"/>
    <w:rsid w:val="598A3C77"/>
    <w:rsid w:val="5B2814D9"/>
    <w:rsid w:val="5CF56323"/>
    <w:rsid w:val="5D4D1D73"/>
    <w:rsid w:val="5D972077"/>
    <w:rsid w:val="5E8E770E"/>
    <w:rsid w:val="623B7383"/>
    <w:rsid w:val="63166D1A"/>
    <w:rsid w:val="65922BE0"/>
    <w:rsid w:val="65CA5E8C"/>
    <w:rsid w:val="65CF770C"/>
    <w:rsid w:val="680622D3"/>
    <w:rsid w:val="6AC87D14"/>
    <w:rsid w:val="6ACF7141"/>
    <w:rsid w:val="6AF27A26"/>
    <w:rsid w:val="6B2D401B"/>
    <w:rsid w:val="6B686E01"/>
    <w:rsid w:val="6C083654"/>
    <w:rsid w:val="6C094604"/>
    <w:rsid w:val="6C751B3B"/>
    <w:rsid w:val="6DC37643"/>
    <w:rsid w:val="6E182D60"/>
    <w:rsid w:val="6E354925"/>
    <w:rsid w:val="6E4A295F"/>
    <w:rsid w:val="6EAE5472"/>
    <w:rsid w:val="6EC41DCE"/>
    <w:rsid w:val="6ED924EF"/>
    <w:rsid w:val="6FE03650"/>
    <w:rsid w:val="70327008"/>
    <w:rsid w:val="70926DFA"/>
    <w:rsid w:val="710B2708"/>
    <w:rsid w:val="724471CD"/>
    <w:rsid w:val="72C12E0D"/>
    <w:rsid w:val="734653CB"/>
    <w:rsid w:val="74963E13"/>
    <w:rsid w:val="75292AD1"/>
    <w:rsid w:val="7553467E"/>
    <w:rsid w:val="760D37CC"/>
    <w:rsid w:val="76BB6B1C"/>
    <w:rsid w:val="777C4360"/>
    <w:rsid w:val="79870010"/>
    <w:rsid w:val="79E2018B"/>
    <w:rsid w:val="7A7C5C95"/>
    <w:rsid w:val="7B3B62E0"/>
    <w:rsid w:val="7C7F737F"/>
    <w:rsid w:val="7CF20C20"/>
    <w:rsid w:val="7DA154A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link w:val="18"/>
    <w:autoRedefine/>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3">
    <w:name w:val="heading 3"/>
    <w:basedOn w:val="1"/>
    <w:next w:val="1"/>
    <w:link w:val="19"/>
    <w:autoRedefine/>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4">
    <w:name w:val="heading 4"/>
    <w:basedOn w:val="1"/>
    <w:next w:val="1"/>
    <w:link w:val="20"/>
    <w:autoRedefine/>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5">
    <w:name w:val="heading 5"/>
    <w:basedOn w:val="1"/>
    <w:next w:val="1"/>
    <w:link w:val="21"/>
    <w:autoRedefine/>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5">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99"/>
    <w:pPr>
      <w:ind w:firstLine="420" w:firstLineChars="200"/>
    </w:pPr>
  </w:style>
  <w:style w:type="paragraph" w:styleId="7">
    <w:name w:val="Body Text"/>
    <w:basedOn w:val="1"/>
    <w:autoRedefine/>
    <w:unhideWhenUsed/>
    <w:qFormat/>
    <w:uiPriority w:val="99"/>
    <w:pPr>
      <w:spacing w:line="480" w:lineRule="auto"/>
      <w:jc w:val="center"/>
    </w:pPr>
    <w:rPr>
      <w:rFonts w:ascii="宋体"/>
      <w:b/>
      <w:sz w:val="72"/>
      <w:szCs w:val="20"/>
    </w:rPr>
  </w:style>
  <w:style w:type="paragraph" w:styleId="8">
    <w:name w:val="Body Text Indent"/>
    <w:basedOn w:val="1"/>
    <w:autoRedefine/>
    <w:qFormat/>
    <w:uiPriority w:val="0"/>
    <w:pPr>
      <w:spacing w:after="120"/>
      <w:ind w:left="420" w:leftChars="200"/>
    </w:pPr>
    <w:rPr>
      <w:lang w:val="zh-CN"/>
    </w:rPr>
  </w:style>
  <w:style w:type="paragraph" w:styleId="9">
    <w:name w:val="Plain Text"/>
    <w:basedOn w:val="1"/>
    <w:next w:val="1"/>
    <w:autoRedefine/>
    <w:qFormat/>
    <w:uiPriority w:val="0"/>
    <w:rPr>
      <w:rFonts w:ascii="宋体" w:hAnsi="Courier New"/>
      <w:szCs w:val="20"/>
    </w:rPr>
  </w:style>
  <w:style w:type="paragraph" w:styleId="10">
    <w:name w:val="Balloon Text"/>
    <w:basedOn w:val="1"/>
    <w:link w:val="40"/>
    <w:autoRedefine/>
    <w:qFormat/>
    <w:uiPriority w:val="0"/>
    <w:rPr>
      <w:sz w:val="18"/>
      <w:szCs w:val="18"/>
    </w:rPr>
  </w:style>
  <w:style w:type="paragraph" w:styleId="11">
    <w:name w:val="footer"/>
    <w:basedOn w:val="1"/>
    <w:link w:val="17"/>
    <w:autoRedefine/>
    <w:qFormat/>
    <w:uiPriority w:val="0"/>
    <w:pPr>
      <w:tabs>
        <w:tab w:val="center" w:pos="4153"/>
        <w:tab w:val="right" w:pos="8306"/>
      </w:tabs>
      <w:snapToGrid w:val="0"/>
      <w:jc w:val="left"/>
    </w:pPr>
    <w:rPr>
      <w:sz w:val="18"/>
      <w:szCs w:val="18"/>
    </w:rPr>
  </w:style>
  <w:style w:type="paragraph" w:styleId="12">
    <w:name w:val="header"/>
    <w:basedOn w:val="1"/>
    <w:link w:val="16"/>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2"/>
    <w:basedOn w:val="8"/>
    <w:autoRedefine/>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character" w:customStyle="1" w:styleId="16">
    <w:name w:val="页眉 Char"/>
    <w:basedOn w:val="15"/>
    <w:link w:val="12"/>
    <w:autoRedefine/>
    <w:qFormat/>
    <w:uiPriority w:val="0"/>
    <w:rPr>
      <w:kern w:val="2"/>
      <w:sz w:val="18"/>
      <w:szCs w:val="18"/>
    </w:rPr>
  </w:style>
  <w:style w:type="character" w:customStyle="1" w:styleId="17">
    <w:name w:val="页脚 Char"/>
    <w:basedOn w:val="15"/>
    <w:link w:val="11"/>
    <w:autoRedefine/>
    <w:qFormat/>
    <w:uiPriority w:val="0"/>
    <w:rPr>
      <w:kern w:val="2"/>
      <w:sz w:val="18"/>
      <w:szCs w:val="18"/>
    </w:rPr>
  </w:style>
  <w:style w:type="character" w:customStyle="1" w:styleId="18">
    <w:name w:val="标题 2 Char"/>
    <w:basedOn w:val="15"/>
    <w:link w:val="2"/>
    <w:autoRedefine/>
    <w:qFormat/>
    <w:uiPriority w:val="0"/>
    <w:rPr>
      <w:rFonts w:ascii="Book Antiqua" w:hAnsi="Book Antiqua" w:eastAsia="黑体" w:cs="Book Antiqua"/>
      <w:bCs/>
      <w:sz w:val="36"/>
      <w:szCs w:val="36"/>
      <w:lang w:eastAsia="en-US"/>
    </w:rPr>
  </w:style>
  <w:style w:type="character" w:customStyle="1" w:styleId="19">
    <w:name w:val="标题 3 Char"/>
    <w:basedOn w:val="15"/>
    <w:link w:val="3"/>
    <w:autoRedefine/>
    <w:qFormat/>
    <w:uiPriority w:val="0"/>
    <w:rPr>
      <w:rFonts w:ascii="Book Antiqua" w:hAnsi="Book Antiqua" w:eastAsia="黑体" w:cs="宋体"/>
      <w:sz w:val="32"/>
      <w:szCs w:val="32"/>
    </w:rPr>
  </w:style>
  <w:style w:type="character" w:customStyle="1" w:styleId="20">
    <w:name w:val="标题 4 Char"/>
    <w:basedOn w:val="15"/>
    <w:link w:val="4"/>
    <w:autoRedefine/>
    <w:qFormat/>
    <w:uiPriority w:val="0"/>
    <w:rPr>
      <w:rFonts w:ascii="Book Antiqua" w:hAnsi="Book Antiqua" w:eastAsia="黑体" w:cs="宋体"/>
      <w:sz w:val="28"/>
      <w:szCs w:val="28"/>
    </w:rPr>
  </w:style>
  <w:style w:type="character" w:customStyle="1" w:styleId="21">
    <w:name w:val="标题 5 Char"/>
    <w:basedOn w:val="15"/>
    <w:link w:val="5"/>
    <w:autoRedefine/>
    <w:qFormat/>
    <w:uiPriority w:val="0"/>
    <w:rPr>
      <w:rFonts w:ascii="Book Antiqua" w:hAnsi="Book Antiqua" w:eastAsia="黑体" w:cs="宋体"/>
      <w:sz w:val="24"/>
      <w:szCs w:val="24"/>
    </w:rPr>
  </w:style>
  <w:style w:type="paragraph" w:styleId="22">
    <w:name w:val="List Paragraph"/>
    <w:basedOn w:val="1"/>
    <w:link w:val="23"/>
    <w:autoRedefine/>
    <w:qFormat/>
    <w:uiPriority w:val="34"/>
    <w:pPr>
      <w:ind w:firstLine="420" w:firstLineChars="200"/>
    </w:pPr>
    <w:rPr>
      <w:rFonts w:asciiTheme="minorHAnsi" w:hAnsiTheme="minorHAnsi" w:eastAsiaTheme="minorEastAsia" w:cstheme="minorBidi"/>
      <w:szCs w:val="22"/>
    </w:rPr>
  </w:style>
  <w:style w:type="character" w:customStyle="1" w:styleId="23">
    <w:name w:val="列出段落 Char"/>
    <w:link w:val="22"/>
    <w:autoRedefine/>
    <w:qFormat/>
    <w:uiPriority w:val="34"/>
    <w:rPr>
      <w:rFonts w:asciiTheme="minorHAnsi" w:hAnsiTheme="minorHAnsi" w:eastAsiaTheme="minorEastAsia" w:cstheme="minorBidi"/>
      <w:kern w:val="2"/>
      <w:sz w:val="21"/>
      <w:szCs w:val="22"/>
    </w:rPr>
  </w:style>
  <w:style w:type="character" w:customStyle="1" w:styleId="24">
    <w:name w:val="Item Step in table Char Char"/>
    <w:link w:val="25"/>
    <w:autoRedefine/>
    <w:qFormat/>
    <w:uiPriority w:val="0"/>
    <w:rPr>
      <w:rFonts w:cs="Arial"/>
      <w:bCs/>
      <w:szCs w:val="28"/>
    </w:rPr>
  </w:style>
  <w:style w:type="paragraph" w:customStyle="1" w:styleId="25">
    <w:name w:val="Item Step in table"/>
    <w:basedOn w:val="5"/>
    <w:link w:val="24"/>
    <w:autoRedefine/>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6">
    <w:name w:val="Block Label"/>
    <w:basedOn w:val="1"/>
    <w:next w:val="1"/>
    <w:autoRedefine/>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7">
    <w:name w:val="Table Description"/>
    <w:basedOn w:val="1"/>
    <w:next w:val="1"/>
    <w:autoRedefine/>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8">
    <w:name w:val="Table Text Char"/>
    <w:link w:val="29"/>
    <w:autoRedefine/>
    <w:qFormat/>
    <w:uiPriority w:val="0"/>
    <w:rPr>
      <w:rFonts w:cs="Arial"/>
      <w:szCs w:val="21"/>
    </w:rPr>
  </w:style>
  <w:style w:type="paragraph" w:customStyle="1" w:styleId="29">
    <w:name w:val="Table Text"/>
    <w:basedOn w:val="1"/>
    <w:link w:val="28"/>
    <w:autoRedefine/>
    <w:qFormat/>
    <w:uiPriority w:val="0"/>
    <w:pPr>
      <w:topLinePunct/>
      <w:adjustRightInd w:val="0"/>
      <w:snapToGrid w:val="0"/>
      <w:spacing w:before="80" w:after="80" w:line="240" w:lineRule="atLeast"/>
      <w:jc w:val="left"/>
    </w:pPr>
    <w:rPr>
      <w:rFonts w:cs="Arial"/>
      <w:kern w:val="0"/>
      <w:sz w:val="20"/>
      <w:szCs w:val="21"/>
    </w:rPr>
  </w:style>
  <w:style w:type="paragraph" w:customStyle="1" w:styleId="30">
    <w:name w:val="Step"/>
    <w:basedOn w:val="1"/>
    <w:autoRedefine/>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1">
    <w:name w:val="CAUTION Text Step"/>
    <w:basedOn w:val="1"/>
    <w:autoRedefine/>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2">
    <w:name w:val="Sub Item Step in Table"/>
    <w:autoRedefin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3">
    <w:name w:val="Sub Item List in Table"/>
    <w:basedOn w:val="1"/>
    <w:autoRedefine/>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4">
    <w:name w:val="Sub Item Step in Table List"/>
    <w:autoRedefine/>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5">
    <w:name w:val="Item List in Table"/>
    <w:basedOn w:val="1"/>
    <w:autoRedefine/>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6">
    <w:name w:val="Figure Description"/>
    <w:next w:val="1"/>
    <w:autoRedefine/>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7">
    <w:name w:val="Notes Text Step"/>
    <w:basedOn w:val="31"/>
    <w:autoRedefine/>
    <w:qFormat/>
    <w:uiPriority w:val="0"/>
    <w:pPr>
      <w:numPr>
        <w:ilvl w:val="6"/>
      </w:numPr>
      <w:pBdr>
        <w:bottom w:val="none" w:color="auto" w:sz="0" w:space="0"/>
      </w:pBdr>
      <w:spacing w:before="40" w:line="200" w:lineRule="atLeast"/>
    </w:pPr>
    <w:rPr>
      <w:sz w:val="18"/>
      <w:szCs w:val="18"/>
    </w:rPr>
  </w:style>
  <w:style w:type="paragraph" w:customStyle="1" w:styleId="38">
    <w:name w:val="Notes Text Step in Table"/>
    <w:autoRedefin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9">
    <w:name w:val="Sub Item List in Table Step"/>
    <w:basedOn w:val="1"/>
    <w:autoRedefine/>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40">
    <w:name w:val="批注框文本 Char"/>
    <w:basedOn w:val="15"/>
    <w:link w:val="10"/>
    <w:autoRedefine/>
    <w:qFormat/>
    <w:uiPriority w:val="0"/>
    <w:rPr>
      <w:kern w:val="2"/>
      <w:sz w:val="18"/>
      <w:szCs w:val="18"/>
    </w:rPr>
  </w:style>
  <w:style w:type="paragraph" w:customStyle="1" w:styleId="41">
    <w:name w:val="样式 宋体 小四 行距: 1.5 倍行距 首行缩进:  2 字符"/>
    <w:basedOn w:val="1"/>
    <w:autoRedefine/>
    <w:qFormat/>
    <w:uiPriority w:val="99"/>
    <w:pPr>
      <w:spacing w:line="360" w:lineRule="auto"/>
      <w:ind w:firstLine="480" w:firstLineChars="200"/>
    </w:pPr>
    <w:rPr>
      <w:rFonts w:ascii="Times New Roman" w:hAnsi="Times New Roman" w:cs="宋体"/>
    </w:rPr>
  </w:style>
  <w:style w:type="character" w:customStyle="1" w:styleId="42">
    <w:name w:val="font21"/>
    <w:basedOn w:val="15"/>
    <w:autoRedefine/>
    <w:qFormat/>
    <w:uiPriority w:val="0"/>
    <w:rPr>
      <w:rFonts w:hint="eastAsia" w:ascii="宋体" w:hAnsi="宋体" w:eastAsia="宋体" w:cs="宋体"/>
      <w:color w:val="000000"/>
      <w:sz w:val="20"/>
      <w:szCs w:val="20"/>
      <w:u w:val="none"/>
    </w:rPr>
  </w:style>
  <w:style w:type="character" w:customStyle="1" w:styleId="43">
    <w:name w:val="font31"/>
    <w:basedOn w:val="15"/>
    <w:autoRedefine/>
    <w:qFormat/>
    <w:uiPriority w:val="0"/>
    <w:rPr>
      <w:rFonts w:hint="default" w:ascii="Times New Roman" w:hAnsi="Times New Roman" w:cs="Times New Roman"/>
      <w:color w:val="000000"/>
      <w:sz w:val="20"/>
      <w:szCs w:val="20"/>
      <w:u w:val="none"/>
    </w:rPr>
  </w:style>
  <w:style w:type="character" w:customStyle="1" w:styleId="44">
    <w:name w:val="font41"/>
    <w:basedOn w:val="15"/>
    <w:autoRedefine/>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452</Words>
  <Characters>569</Characters>
  <Lines>61</Lines>
  <Paragraphs>17</Paragraphs>
  <TotalTime>6</TotalTime>
  <ScaleCrop>false</ScaleCrop>
  <LinksUpToDate>false</LinksUpToDate>
  <CharactersWithSpaces>627</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永远的yu</cp:lastModifiedBy>
  <cp:lastPrinted>2023-11-29T06:10:00Z</cp:lastPrinted>
  <dcterms:modified xsi:type="dcterms:W3CDTF">2024-02-28T06:18:17Z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B75484C30A0D48A998196F431A9A3E69</vt:lpwstr>
  </property>
</Properties>
</file>