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outlineLvl w:val="1"/>
        <w:rPr>
          <w:rFonts w:hint="default" w:cs="Times New Roman"/>
          <w:b/>
          <w:color w:val="000000"/>
          <w:sz w:val="30"/>
          <w:szCs w:val="30"/>
          <w:lang w:val="en-US" w:eastAsia="zh-CN"/>
        </w:rPr>
      </w:pPr>
      <w:r>
        <w:rPr>
          <w:rFonts w:hint="eastAsia" w:cs="Times New Roman"/>
          <w:b/>
          <w:color w:val="000000"/>
          <w:sz w:val="30"/>
          <w:szCs w:val="30"/>
          <w:lang w:val="en-US" w:eastAsia="zh-CN"/>
        </w:rPr>
        <w:t>广州交投集团营运道路2023-2026年度机电养护综合管养项目-广台、新化路段LED灯具</w:t>
      </w:r>
      <w:r>
        <w:rPr>
          <w:rFonts w:hint="default" w:cs="Times New Roman"/>
          <w:b/>
          <w:color w:val="000000"/>
          <w:sz w:val="30"/>
          <w:szCs w:val="30"/>
          <w:lang w:val="en-US" w:eastAsia="zh-CN"/>
        </w:rPr>
        <w:t>采购意向征集公告</w:t>
      </w:r>
    </w:p>
    <w:p>
      <w:pPr>
        <w:pStyle w:val="12"/>
        <w:rPr>
          <w:rFonts w:hint="default" w:ascii="Times New Roman" w:hAnsi="Times New Roman" w:eastAsia="宋体" w:cs="Times New Roman"/>
          <w:sz w:val="24"/>
          <w:szCs w:val="24"/>
        </w:rPr>
      </w:pPr>
    </w:p>
    <w:p>
      <w:pPr>
        <w:numPr>
          <w:ilvl w:val="0"/>
          <w:numId w:val="3"/>
        </w:numPr>
        <w:topLinePunct/>
        <w:spacing w:line="360" w:lineRule="auto"/>
        <w:outlineLvl w:val="1"/>
        <w:rPr>
          <w:rFonts w:hint="default" w:ascii="Times New Roman" w:hAnsi="Times New Roman" w:eastAsia="宋体" w:cs="Times New Roman"/>
          <w:b/>
          <w:snapToGrid w:val="0"/>
          <w:kern w:val="0"/>
          <w:sz w:val="24"/>
          <w:szCs w:val="24"/>
        </w:rPr>
      </w:pPr>
      <w:r>
        <w:rPr>
          <w:rFonts w:hint="default" w:ascii="Times New Roman" w:hAnsi="Times New Roman" w:eastAsia="宋体" w:cs="Times New Roman"/>
          <w:b/>
          <w:snapToGrid w:val="0"/>
          <w:kern w:val="0"/>
          <w:sz w:val="24"/>
          <w:szCs w:val="24"/>
        </w:rPr>
        <w:t>项目概况</w:t>
      </w:r>
    </w:p>
    <w:p>
      <w:pPr>
        <w:wordWrap w:val="0"/>
        <w:topLinePunct/>
        <w:spacing w:line="360" w:lineRule="auto"/>
        <w:ind w:firstLine="566" w:firstLineChars="236"/>
        <w:rPr>
          <w:rFonts w:hint="default" w:ascii="Times New Roman" w:hAnsi="Times New Roman" w:eastAsia="宋体" w:cs="Times New Roman"/>
          <w:bCs/>
          <w:snapToGrid w:val="0"/>
          <w:kern w:val="0"/>
          <w:sz w:val="24"/>
          <w:szCs w:val="24"/>
        </w:rPr>
      </w:pPr>
      <w:r>
        <w:rPr>
          <w:rFonts w:hint="default" w:ascii="Times New Roman" w:hAnsi="Times New Roman" w:eastAsia="宋体" w:cs="Times New Roman"/>
          <w:bCs/>
          <w:snapToGrid w:val="0"/>
          <w:kern w:val="0"/>
          <w:sz w:val="24"/>
          <w:szCs w:val="24"/>
        </w:rPr>
        <w:t>1.1项目名称：广州交投集团营运道路2023-2026年度机电养护综合管养项目</w:t>
      </w:r>
      <w:r>
        <w:rPr>
          <w:rFonts w:hint="eastAsia" w:cs="Times New Roman"/>
          <w:bCs/>
          <w:snapToGrid w:val="0"/>
          <w:kern w:val="0"/>
          <w:sz w:val="24"/>
          <w:szCs w:val="24"/>
          <w:lang w:val="en-US" w:eastAsia="zh-CN"/>
        </w:rPr>
        <w:t>-</w:t>
      </w:r>
      <w:r>
        <w:rPr>
          <w:rFonts w:hint="default" w:ascii="Times New Roman" w:hAnsi="Times New Roman" w:eastAsia="宋体" w:cs="Times New Roman"/>
          <w:bCs/>
          <w:snapToGrid w:val="0"/>
          <w:kern w:val="0"/>
          <w:sz w:val="24"/>
          <w:szCs w:val="24"/>
        </w:rPr>
        <w:t>广台</w:t>
      </w:r>
      <w:r>
        <w:rPr>
          <w:rFonts w:hint="eastAsia" w:cs="Times New Roman"/>
          <w:bCs/>
          <w:snapToGrid w:val="0"/>
          <w:kern w:val="0"/>
          <w:sz w:val="24"/>
          <w:szCs w:val="24"/>
          <w:lang w:eastAsia="zh-CN"/>
        </w:rPr>
        <w:t>、新化</w:t>
      </w:r>
      <w:r>
        <w:rPr>
          <w:rFonts w:hint="default" w:ascii="Times New Roman" w:hAnsi="Times New Roman" w:eastAsia="宋体" w:cs="Times New Roman"/>
          <w:bCs/>
          <w:snapToGrid w:val="0"/>
          <w:kern w:val="0"/>
          <w:sz w:val="24"/>
          <w:szCs w:val="24"/>
        </w:rPr>
        <w:t>路段</w:t>
      </w:r>
    </w:p>
    <w:p>
      <w:pPr>
        <w:wordWrap w:val="0"/>
        <w:topLinePunct/>
        <w:spacing w:line="360" w:lineRule="auto"/>
        <w:ind w:firstLine="566" w:firstLineChars="236"/>
        <w:rPr>
          <w:rFonts w:hint="default" w:ascii="Times New Roman" w:hAnsi="Times New Roman" w:eastAsia="宋体" w:cs="Times New Roman"/>
          <w:sz w:val="24"/>
          <w:szCs w:val="24"/>
        </w:rPr>
      </w:pPr>
      <w:r>
        <w:rPr>
          <w:rFonts w:hint="default" w:ascii="Times New Roman" w:hAnsi="Times New Roman" w:eastAsia="宋体" w:cs="Times New Roman"/>
          <w:bCs/>
          <w:snapToGrid w:val="0"/>
          <w:kern w:val="0"/>
          <w:sz w:val="24"/>
          <w:szCs w:val="24"/>
        </w:rPr>
        <w:t>1.2项目地点：广州市</w:t>
      </w:r>
    </w:p>
    <w:p>
      <w:pPr>
        <w:numPr>
          <w:ilvl w:val="0"/>
          <w:numId w:val="3"/>
        </w:numPr>
        <w:topLinePunct/>
        <w:spacing w:line="360" w:lineRule="auto"/>
        <w:outlineLvl w:val="1"/>
        <w:rPr>
          <w:rFonts w:hint="default" w:ascii="Times New Roman" w:hAnsi="Times New Roman" w:eastAsia="宋体" w:cs="Times New Roman"/>
          <w:b/>
          <w:sz w:val="24"/>
          <w:szCs w:val="24"/>
        </w:rPr>
      </w:pPr>
      <w:r>
        <w:rPr>
          <w:rFonts w:hint="default" w:ascii="Times New Roman" w:hAnsi="Times New Roman" w:eastAsia="宋体" w:cs="Times New Roman"/>
          <w:b/>
          <w:snapToGrid w:val="0"/>
          <w:kern w:val="0"/>
          <w:sz w:val="24"/>
          <w:szCs w:val="24"/>
        </w:rPr>
        <w:t>具体工程量清单</w:t>
      </w:r>
    </w:p>
    <w:tbl>
      <w:tblPr>
        <w:tblStyle w:val="13"/>
        <w:tblW w:w="94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90"/>
        <w:gridCol w:w="1995"/>
        <w:gridCol w:w="1517"/>
        <w:gridCol w:w="947"/>
        <w:gridCol w:w="1242"/>
        <w:gridCol w:w="257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3" w:hRule="atLeast"/>
          <w:jc w:val="center"/>
        </w:trPr>
        <w:tc>
          <w:tcPr>
            <w:tcW w:w="1190" w:type="dxa"/>
            <w:shd w:val="clear" w:color="auto" w:fill="auto"/>
            <w:vAlign w:val="center"/>
          </w:tcPr>
          <w:p>
            <w:pPr>
              <w:spacing w:line="36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序号</w:t>
            </w:r>
          </w:p>
        </w:tc>
        <w:tc>
          <w:tcPr>
            <w:tcW w:w="1995" w:type="dxa"/>
            <w:shd w:val="clear" w:color="auto" w:fill="auto"/>
            <w:vAlign w:val="center"/>
          </w:tcPr>
          <w:p>
            <w:pPr>
              <w:spacing w:line="36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材料名称</w:t>
            </w:r>
          </w:p>
        </w:tc>
        <w:tc>
          <w:tcPr>
            <w:tcW w:w="1517" w:type="dxa"/>
            <w:shd w:val="clear" w:color="auto" w:fill="auto"/>
            <w:vAlign w:val="center"/>
          </w:tcPr>
          <w:p>
            <w:pPr>
              <w:spacing w:line="360" w:lineRule="auto"/>
              <w:jc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规格型号</w:t>
            </w:r>
          </w:p>
        </w:tc>
        <w:tc>
          <w:tcPr>
            <w:tcW w:w="947" w:type="dxa"/>
            <w:shd w:val="clear" w:color="auto" w:fill="auto"/>
            <w:vAlign w:val="center"/>
          </w:tcPr>
          <w:p>
            <w:pPr>
              <w:spacing w:line="36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单位</w:t>
            </w:r>
          </w:p>
        </w:tc>
        <w:tc>
          <w:tcPr>
            <w:tcW w:w="1242" w:type="dxa"/>
            <w:shd w:val="clear" w:color="auto" w:fill="auto"/>
            <w:vAlign w:val="center"/>
          </w:tcPr>
          <w:p>
            <w:pPr>
              <w:spacing w:line="36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数量</w:t>
            </w:r>
          </w:p>
        </w:tc>
        <w:tc>
          <w:tcPr>
            <w:tcW w:w="2579" w:type="dxa"/>
            <w:shd w:val="clear" w:color="auto" w:fill="auto"/>
            <w:vAlign w:val="center"/>
          </w:tcPr>
          <w:p>
            <w:pPr>
              <w:spacing w:line="36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1190" w:type="dxa"/>
            <w:shd w:val="clear" w:color="auto" w:fill="auto"/>
            <w:vAlign w:val="center"/>
          </w:tcPr>
          <w:p>
            <w:pPr>
              <w:spacing w:line="360" w:lineRule="auto"/>
              <w:jc w:val="center"/>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409-2-5-1-1-7</w:t>
            </w:r>
          </w:p>
        </w:tc>
        <w:tc>
          <w:tcPr>
            <w:tcW w:w="1995" w:type="dxa"/>
            <w:shd w:val="clear" w:color="auto" w:fill="auto"/>
            <w:vAlign w:val="center"/>
          </w:tcPr>
          <w:p>
            <w:pPr>
              <w:spacing w:line="360" w:lineRule="auto"/>
              <w:jc w:val="center"/>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LED灯具200W</w:t>
            </w:r>
          </w:p>
        </w:tc>
        <w:tc>
          <w:tcPr>
            <w:tcW w:w="1517" w:type="dxa"/>
            <w:shd w:val="clear" w:color="auto" w:fill="auto"/>
            <w:vAlign w:val="center"/>
          </w:tcPr>
          <w:p>
            <w:pPr>
              <w:spacing w:line="360" w:lineRule="auto"/>
              <w:jc w:val="center"/>
              <w:rPr>
                <w:rFonts w:hint="default" w:ascii="Times New Roman" w:hAnsi="Times New Roman" w:eastAsia="宋体" w:cs="Times New Roman"/>
                <w:sz w:val="21"/>
                <w:szCs w:val="21"/>
                <w:lang w:val="en-US" w:eastAsia="zh-CN"/>
              </w:rPr>
            </w:pPr>
          </w:p>
        </w:tc>
        <w:tc>
          <w:tcPr>
            <w:tcW w:w="947" w:type="dxa"/>
            <w:shd w:val="clear" w:color="auto" w:fill="auto"/>
            <w:vAlign w:val="center"/>
          </w:tcPr>
          <w:p>
            <w:pPr>
              <w:spacing w:line="360" w:lineRule="auto"/>
              <w:jc w:val="center"/>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套</w:t>
            </w:r>
          </w:p>
        </w:tc>
        <w:tc>
          <w:tcPr>
            <w:tcW w:w="1242" w:type="dxa"/>
            <w:shd w:val="clear" w:color="auto" w:fill="auto"/>
            <w:vAlign w:val="center"/>
          </w:tcPr>
          <w:p>
            <w:pPr>
              <w:spacing w:line="360" w:lineRule="auto"/>
              <w:jc w:val="center"/>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75</w:t>
            </w:r>
          </w:p>
        </w:tc>
        <w:tc>
          <w:tcPr>
            <w:tcW w:w="2579" w:type="dxa"/>
            <w:shd w:val="clear" w:color="auto" w:fill="auto"/>
            <w:vAlign w:val="center"/>
          </w:tcPr>
          <w:p>
            <w:pPr>
              <w:spacing w:line="360" w:lineRule="auto"/>
              <w:jc w:val="center"/>
              <w:rPr>
                <w:rFonts w:hint="default" w:ascii="Times New Roman" w:hAnsi="Times New Roman" w:eastAsia="宋体"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1190" w:type="dxa"/>
            <w:shd w:val="clear" w:color="auto" w:fill="auto"/>
            <w:vAlign w:val="center"/>
          </w:tcPr>
          <w:p>
            <w:pPr>
              <w:spacing w:line="360" w:lineRule="auto"/>
              <w:jc w:val="center"/>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409-2-5-1-1-7</w:t>
            </w:r>
          </w:p>
        </w:tc>
        <w:tc>
          <w:tcPr>
            <w:tcW w:w="1995" w:type="dxa"/>
            <w:shd w:val="clear" w:color="auto" w:fill="auto"/>
            <w:vAlign w:val="center"/>
          </w:tcPr>
          <w:p>
            <w:pPr>
              <w:spacing w:line="360" w:lineRule="auto"/>
              <w:jc w:val="center"/>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LED灯具200W</w:t>
            </w:r>
          </w:p>
        </w:tc>
        <w:tc>
          <w:tcPr>
            <w:tcW w:w="1517" w:type="dxa"/>
            <w:shd w:val="clear" w:color="auto" w:fill="auto"/>
            <w:vAlign w:val="center"/>
          </w:tcPr>
          <w:p>
            <w:pPr>
              <w:spacing w:line="360" w:lineRule="auto"/>
              <w:jc w:val="center"/>
              <w:rPr>
                <w:rFonts w:hint="default" w:ascii="Times New Roman" w:hAnsi="Times New Roman" w:eastAsia="宋体" w:cs="Times New Roman"/>
                <w:sz w:val="21"/>
                <w:szCs w:val="21"/>
                <w:lang w:val="en-US" w:eastAsia="zh-CN"/>
              </w:rPr>
            </w:pPr>
          </w:p>
        </w:tc>
        <w:tc>
          <w:tcPr>
            <w:tcW w:w="947" w:type="dxa"/>
            <w:shd w:val="clear" w:color="auto" w:fill="auto"/>
            <w:vAlign w:val="center"/>
          </w:tcPr>
          <w:p>
            <w:pPr>
              <w:spacing w:line="360" w:lineRule="auto"/>
              <w:jc w:val="center"/>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套</w:t>
            </w:r>
          </w:p>
        </w:tc>
        <w:tc>
          <w:tcPr>
            <w:tcW w:w="1242" w:type="dxa"/>
            <w:shd w:val="clear" w:color="auto" w:fill="auto"/>
            <w:vAlign w:val="center"/>
          </w:tcPr>
          <w:p>
            <w:pPr>
              <w:spacing w:line="360" w:lineRule="auto"/>
              <w:jc w:val="center"/>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100</w:t>
            </w:r>
          </w:p>
        </w:tc>
        <w:tc>
          <w:tcPr>
            <w:tcW w:w="2579" w:type="dxa"/>
            <w:shd w:val="clear" w:color="auto" w:fill="auto"/>
            <w:vAlign w:val="center"/>
          </w:tcPr>
          <w:p>
            <w:pPr>
              <w:spacing w:line="360" w:lineRule="auto"/>
              <w:jc w:val="center"/>
              <w:rPr>
                <w:rFonts w:hint="default" w:ascii="Times New Roman" w:hAnsi="Times New Roman" w:eastAsia="宋体" w:cs="Times New Roman"/>
                <w:sz w:val="21"/>
                <w:szCs w:val="21"/>
                <w:lang w:val="en-US" w:eastAsia="zh-CN"/>
              </w:rPr>
            </w:pPr>
          </w:p>
        </w:tc>
      </w:tr>
    </w:tbl>
    <w:p>
      <w:pPr>
        <w:wordWrap w:val="0"/>
        <w:topLinePunct/>
        <w:spacing w:line="360" w:lineRule="auto"/>
        <w:ind w:firstLine="566" w:firstLineChars="236"/>
        <w:rPr>
          <w:rFonts w:hint="default" w:ascii="Times New Roman" w:hAnsi="Times New Roman" w:eastAsia="宋体" w:cs="Times New Roman"/>
          <w:bCs/>
          <w:snapToGrid w:val="0"/>
          <w:kern w:val="0"/>
          <w:sz w:val="24"/>
          <w:szCs w:val="24"/>
        </w:rPr>
      </w:pPr>
      <w:r>
        <w:rPr>
          <w:rFonts w:hint="default" w:ascii="Times New Roman" w:hAnsi="Times New Roman" w:eastAsia="宋体" w:cs="Times New Roman"/>
          <w:bCs/>
          <w:snapToGrid w:val="0"/>
          <w:kern w:val="0"/>
          <w:sz w:val="24"/>
          <w:szCs w:val="24"/>
        </w:rPr>
        <w:t>清单说明：</w:t>
      </w:r>
    </w:p>
    <w:p>
      <w:pPr>
        <w:numPr>
          <w:ilvl w:val="0"/>
          <w:numId w:val="4"/>
        </w:numPr>
        <w:wordWrap w:val="0"/>
        <w:topLinePunct/>
        <w:spacing w:line="360" w:lineRule="auto"/>
        <w:ind w:firstLine="566" w:firstLineChars="236"/>
        <w:rPr>
          <w:rFonts w:hint="default" w:ascii="Times New Roman" w:hAnsi="Times New Roman" w:eastAsia="宋体" w:cs="Times New Roman"/>
          <w:sz w:val="24"/>
          <w:szCs w:val="24"/>
        </w:rPr>
      </w:pPr>
      <w:r>
        <w:rPr>
          <w:rFonts w:hint="default" w:ascii="Times New Roman" w:hAnsi="Times New Roman" w:eastAsia="宋体" w:cs="Times New Roman"/>
          <w:bCs/>
          <w:snapToGrid w:val="0"/>
          <w:kern w:val="0"/>
          <w:sz w:val="24"/>
          <w:szCs w:val="24"/>
        </w:rPr>
        <w:t>包括运输、保险费、</w:t>
      </w:r>
      <w:r>
        <w:rPr>
          <w:rFonts w:hint="eastAsia" w:cs="Times New Roman"/>
          <w:bCs/>
          <w:snapToGrid w:val="0"/>
          <w:kern w:val="0"/>
          <w:sz w:val="24"/>
          <w:szCs w:val="24"/>
          <w:lang w:eastAsia="zh-CN"/>
        </w:rPr>
        <w:t>指导安装调试、</w:t>
      </w:r>
      <w:r>
        <w:rPr>
          <w:rFonts w:hint="default" w:ascii="Times New Roman" w:hAnsi="Times New Roman" w:eastAsia="宋体" w:cs="Times New Roman"/>
          <w:bCs/>
          <w:snapToGrid w:val="0"/>
          <w:kern w:val="0"/>
          <w:sz w:val="24"/>
          <w:szCs w:val="24"/>
        </w:rPr>
        <w:t>税费、试运行及缺陷的维护等一切费用；</w:t>
      </w:r>
    </w:p>
    <w:p>
      <w:pPr>
        <w:pStyle w:val="6"/>
        <w:numPr>
          <w:ilvl w:val="0"/>
          <w:numId w:val="4"/>
        </w:numPr>
        <w:ind w:firstLine="566" w:firstLineChars="236"/>
        <w:rPr>
          <w:rFonts w:hint="default" w:ascii="Times New Roman" w:hAnsi="Times New Roman" w:eastAsia="宋体" w:cs="Times New Roman"/>
          <w:bCs/>
          <w:snapToGrid w:val="0"/>
          <w:kern w:val="0"/>
          <w:sz w:val="24"/>
          <w:szCs w:val="24"/>
        </w:rPr>
      </w:pPr>
      <w:r>
        <w:rPr>
          <w:rFonts w:hint="default" w:ascii="Times New Roman" w:hAnsi="Times New Roman" w:eastAsia="宋体" w:cs="Times New Roman"/>
          <w:bCs/>
          <w:snapToGrid w:val="0"/>
          <w:kern w:val="0"/>
          <w:sz w:val="24"/>
          <w:szCs w:val="24"/>
        </w:rPr>
        <w:t>最高限价</w:t>
      </w:r>
      <w:r>
        <w:rPr>
          <w:rFonts w:hint="eastAsia" w:cs="Times New Roman"/>
          <w:bCs/>
          <w:snapToGrid w:val="0"/>
          <w:kern w:val="0"/>
          <w:sz w:val="24"/>
          <w:szCs w:val="24"/>
          <w:lang w:eastAsia="zh-CN"/>
        </w:rPr>
        <w:t>：</w:t>
      </w:r>
      <w:r>
        <w:rPr>
          <w:rFonts w:hint="eastAsia" w:cs="Times New Roman"/>
          <w:bCs/>
          <w:snapToGrid w:val="0"/>
          <w:kern w:val="0"/>
          <w:sz w:val="24"/>
          <w:szCs w:val="24"/>
          <w:lang w:val="en-US" w:eastAsia="zh-CN"/>
        </w:rPr>
        <w:t>131250.00</w:t>
      </w:r>
      <w:r>
        <w:rPr>
          <w:rFonts w:hint="default" w:ascii="Times New Roman" w:hAnsi="Times New Roman" w:eastAsia="宋体" w:cs="Times New Roman"/>
          <w:bCs/>
          <w:snapToGrid w:val="0"/>
          <w:kern w:val="0"/>
          <w:sz w:val="24"/>
          <w:szCs w:val="24"/>
        </w:rPr>
        <w:t>元。</w:t>
      </w:r>
    </w:p>
    <w:p>
      <w:pPr>
        <w:numPr>
          <w:ilvl w:val="0"/>
          <w:numId w:val="3"/>
        </w:numPr>
        <w:topLinePunct/>
        <w:spacing w:line="360" w:lineRule="auto"/>
        <w:outlineLvl w:val="1"/>
        <w:rPr>
          <w:rFonts w:hint="default" w:ascii="Times New Roman" w:hAnsi="Times New Roman" w:eastAsia="宋体" w:cs="Times New Roman"/>
          <w:b/>
          <w:snapToGrid w:val="0"/>
          <w:kern w:val="0"/>
          <w:sz w:val="24"/>
          <w:szCs w:val="24"/>
        </w:rPr>
      </w:pPr>
      <w:r>
        <w:rPr>
          <w:rFonts w:hint="default" w:ascii="Times New Roman" w:hAnsi="Times New Roman" w:eastAsia="宋体" w:cs="Times New Roman"/>
          <w:b/>
          <w:snapToGrid w:val="0"/>
          <w:kern w:val="0"/>
          <w:sz w:val="24"/>
          <w:szCs w:val="24"/>
        </w:rPr>
        <w:t>供应商资格条件</w:t>
      </w:r>
    </w:p>
    <w:p>
      <w:pPr>
        <w:spacing w:line="360" w:lineRule="auto"/>
        <w:ind w:firstLine="480"/>
        <w:rPr>
          <w:rFonts w:ascii="Times New Roman" w:hAnsi="Times New Roman" w:eastAsia="宋体" w:cs="Times New Roman"/>
          <w:sz w:val="24"/>
        </w:rPr>
      </w:pPr>
      <w:r>
        <w:rPr>
          <w:rFonts w:ascii="Times New Roman" w:hAnsi="Times New Roman" w:eastAsia="宋体" w:cs="Times New Roman"/>
          <w:sz w:val="24"/>
        </w:rPr>
        <w:t>1、技术要求</w:t>
      </w:r>
    </w:p>
    <w:p>
      <w:pPr>
        <w:spacing w:line="360" w:lineRule="auto"/>
        <w:ind w:firstLine="480"/>
        <w:rPr>
          <w:rFonts w:ascii="Times New Roman" w:hAnsi="Times New Roman" w:eastAsia="宋体" w:cs="Times New Roman"/>
          <w:sz w:val="24"/>
        </w:rPr>
      </w:pPr>
      <w:r>
        <w:rPr>
          <w:rFonts w:ascii="Times New Roman" w:hAnsi="Times New Roman" w:eastAsia="宋体" w:cs="Times New Roman"/>
          <w:sz w:val="24"/>
        </w:rPr>
        <w:t>（1）灯体结构</w:t>
      </w:r>
    </w:p>
    <w:p>
      <w:pPr>
        <w:spacing w:line="360" w:lineRule="auto"/>
        <w:ind w:firstLine="480"/>
        <w:rPr>
          <w:rFonts w:ascii="Times New Roman" w:hAnsi="Times New Roman" w:eastAsia="宋体" w:cs="Times New Roman"/>
          <w:sz w:val="24"/>
        </w:rPr>
      </w:pPr>
      <w:r>
        <w:rPr>
          <w:rFonts w:hint="eastAsia" w:ascii="宋体" w:hAnsi="宋体" w:eastAsia="宋体" w:cs="宋体"/>
          <w:sz w:val="24"/>
        </w:rPr>
        <w:t>◆</w:t>
      </w:r>
      <w:r>
        <w:rPr>
          <w:rFonts w:ascii="Times New Roman" w:hAnsi="Times New Roman" w:eastAsia="宋体" w:cs="Times New Roman"/>
          <w:sz w:val="24"/>
        </w:rPr>
        <w:t xml:space="preserve"> LED照明灯具</w:t>
      </w:r>
      <w:r>
        <w:rPr>
          <w:rFonts w:hint="eastAsia" w:ascii="Times New Roman" w:hAnsi="Times New Roman" w:eastAsia="宋体" w:cs="Times New Roman"/>
          <w:sz w:val="24"/>
        </w:rPr>
        <w:t>材质</w:t>
      </w:r>
      <w:r>
        <w:rPr>
          <w:rFonts w:ascii="Times New Roman" w:hAnsi="Times New Roman" w:eastAsia="宋体" w:cs="Times New Roman"/>
          <w:sz w:val="24"/>
        </w:rPr>
        <w:t>外形应简洁、美观，灯具表面应光滑，外观良好，无破损、划痕、裂纹、油漆脱落等缺陷，颗粒物与油烟免黏附性和可清洁性强。</w:t>
      </w:r>
    </w:p>
    <w:p>
      <w:pPr>
        <w:spacing w:line="360" w:lineRule="auto"/>
        <w:ind w:firstLine="480"/>
        <w:rPr>
          <w:rFonts w:ascii="Times New Roman" w:hAnsi="Times New Roman" w:eastAsia="宋体" w:cs="Times New Roman"/>
          <w:sz w:val="24"/>
          <w:highlight w:val="none"/>
        </w:rPr>
      </w:pPr>
      <w:r>
        <w:rPr>
          <w:rFonts w:hint="eastAsia" w:ascii="宋体" w:hAnsi="宋体" w:eastAsia="宋体" w:cs="宋体"/>
          <w:sz w:val="24"/>
        </w:rPr>
        <w:t>◆</w:t>
      </w:r>
      <w:r>
        <w:rPr>
          <w:rFonts w:ascii="Times New Roman" w:hAnsi="Times New Roman" w:eastAsia="宋体" w:cs="Times New Roman"/>
          <w:sz w:val="24"/>
        </w:rPr>
        <w:t xml:space="preserve"> 灯具各部件</w:t>
      </w:r>
      <w:r>
        <w:rPr>
          <w:rFonts w:ascii="Times New Roman" w:hAnsi="Times New Roman" w:eastAsia="宋体" w:cs="Times New Roman"/>
          <w:sz w:val="24"/>
          <w:highlight w:val="none"/>
        </w:rPr>
        <w:t>应齐全、完整，安装牢固，无影响性能的缺陷。</w:t>
      </w:r>
    </w:p>
    <w:p>
      <w:pPr>
        <w:spacing w:line="360" w:lineRule="auto"/>
        <w:ind w:firstLine="480"/>
        <w:rPr>
          <w:rFonts w:ascii="Times New Roman" w:hAnsi="Times New Roman" w:eastAsia="宋体" w:cs="Times New Roman"/>
          <w:sz w:val="24"/>
        </w:rPr>
      </w:pPr>
      <w:r>
        <w:rPr>
          <w:rFonts w:hint="eastAsia" w:ascii="宋体" w:hAnsi="宋体" w:eastAsia="宋体" w:cs="宋体"/>
          <w:sz w:val="24"/>
          <w:highlight w:val="none"/>
        </w:rPr>
        <w:t>◆</w:t>
      </w:r>
      <w:r>
        <w:rPr>
          <w:rFonts w:ascii="Times New Roman" w:hAnsi="Times New Roman" w:eastAsia="宋体" w:cs="Times New Roman"/>
          <w:sz w:val="24"/>
          <w:highlight w:val="none"/>
        </w:rPr>
        <w:t xml:space="preserve"> 灯具外壳</w:t>
      </w:r>
      <w:r>
        <w:rPr>
          <w:rFonts w:ascii="Times New Roman" w:hAnsi="Times New Roman" w:eastAsia="宋体" w:cs="Times New Roman"/>
          <w:color w:val="auto"/>
          <w:sz w:val="24"/>
          <w:highlight w:val="none"/>
        </w:rPr>
        <w:t>采用</w:t>
      </w:r>
      <w:r>
        <w:rPr>
          <w:rFonts w:hint="eastAsia" w:ascii="Times New Roman" w:hAnsi="Times New Roman" w:eastAsia="宋体" w:cs="Times New Roman"/>
          <w:color w:val="auto"/>
          <w:sz w:val="24"/>
          <w:highlight w:val="none"/>
        </w:rPr>
        <w:t>高压铸铝</w:t>
      </w:r>
      <w:r>
        <w:rPr>
          <w:rFonts w:ascii="Times New Roman" w:hAnsi="Times New Roman" w:eastAsia="宋体" w:cs="Times New Roman"/>
          <w:color w:val="auto"/>
          <w:sz w:val="24"/>
          <w:highlight w:val="none"/>
        </w:rPr>
        <w:t>。</w:t>
      </w:r>
      <w:r>
        <w:rPr>
          <w:rFonts w:ascii="Times New Roman" w:hAnsi="Times New Roman" w:eastAsia="宋体" w:cs="Times New Roman"/>
          <w:color w:val="auto"/>
          <w:sz w:val="24"/>
        </w:rPr>
        <w:t>支</w:t>
      </w:r>
      <w:r>
        <w:rPr>
          <w:rFonts w:ascii="Times New Roman" w:hAnsi="Times New Roman" w:eastAsia="宋体" w:cs="Times New Roman"/>
          <w:sz w:val="24"/>
        </w:rPr>
        <w:t>撑底座应采用钢材制成，其配套的螺栓、螺帽、垫片等固定件应采用不锈钢制成。所有材料性能指标应符合国家有关规定。</w:t>
      </w:r>
    </w:p>
    <w:p>
      <w:pPr>
        <w:spacing w:line="360" w:lineRule="auto"/>
        <w:ind w:firstLine="480"/>
        <w:rPr>
          <w:rFonts w:ascii="Times New Roman" w:hAnsi="Times New Roman" w:eastAsia="宋体" w:cs="Times New Roman"/>
          <w:sz w:val="24"/>
        </w:rPr>
      </w:pPr>
      <w:r>
        <w:rPr>
          <w:rFonts w:hint="eastAsia" w:ascii="宋体" w:hAnsi="宋体" w:eastAsia="宋体" w:cs="宋体"/>
          <w:sz w:val="24"/>
        </w:rPr>
        <w:t>◆</w:t>
      </w:r>
      <w:r>
        <w:rPr>
          <w:rFonts w:ascii="Times New Roman" w:hAnsi="Times New Roman" w:eastAsia="宋体" w:cs="Times New Roman"/>
          <w:sz w:val="24"/>
        </w:rPr>
        <w:t xml:space="preserve"> 灯具外壳、安装底座等外露构件表面应采用阳极氧化等适当方式进行防锈、防腐处理。灯具防眩格栅表面应进行抛光、氧化或镀膜处理。支撑底座表面均经过防腐处理，能防止、有害气体及清洗剂的腐蚀。</w:t>
      </w:r>
    </w:p>
    <w:p>
      <w:pPr>
        <w:spacing w:line="360" w:lineRule="auto"/>
        <w:ind w:firstLine="480"/>
        <w:rPr>
          <w:rFonts w:ascii="Times New Roman" w:hAnsi="Times New Roman" w:eastAsia="宋体" w:cs="Times New Roman"/>
          <w:sz w:val="24"/>
        </w:rPr>
      </w:pPr>
      <w:r>
        <w:rPr>
          <w:rFonts w:hint="eastAsia" w:ascii="宋体" w:hAnsi="宋体" w:eastAsia="宋体" w:cs="宋体"/>
          <w:sz w:val="24"/>
        </w:rPr>
        <w:t>◆</w:t>
      </w:r>
      <w:r>
        <w:rPr>
          <w:rFonts w:ascii="Times New Roman" w:hAnsi="Times New Roman" w:eastAsia="宋体" w:cs="Times New Roman"/>
          <w:sz w:val="24"/>
        </w:rPr>
        <w:t xml:space="preserve"> 灯具结构应坚固耐用，能承受一定的机械应力和温度应力。灯具固定件厚度应不小于2mm。灯具抗冲击性能应符合GB7000.1的要求。灯具支撑底座（含螺栓、螺帽、垫片）的承重能力应大于三倍灯具重量。</w:t>
      </w:r>
    </w:p>
    <w:p>
      <w:pPr>
        <w:spacing w:line="360" w:lineRule="auto"/>
        <w:ind w:firstLine="480"/>
        <w:rPr>
          <w:rFonts w:ascii="Times New Roman" w:hAnsi="Times New Roman" w:eastAsia="宋体" w:cs="Times New Roman"/>
          <w:sz w:val="24"/>
        </w:rPr>
      </w:pPr>
      <w:r>
        <w:rPr>
          <w:rFonts w:hint="eastAsia" w:ascii="宋体" w:hAnsi="宋体" w:eastAsia="宋体" w:cs="宋体"/>
          <w:sz w:val="24"/>
        </w:rPr>
        <w:t>◆</w:t>
      </w:r>
      <w:r>
        <w:rPr>
          <w:rFonts w:ascii="Times New Roman" w:hAnsi="Times New Roman" w:eastAsia="宋体" w:cs="Times New Roman"/>
          <w:sz w:val="24"/>
        </w:rPr>
        <w:t xml:space="preserve"> 灯具与灯臂连接应牢固，并有保证灯具具有防下坠链条等保护措施；</w:t>
      </w:r>
    </w:p>
    <w:p>
      <w:pPr>
        <w:spacing w:line="360" w:lineRule="auto"/>
        <w:ind w:firstLine="480"/>
        <w:rPr>
          <w:rFonts w:ascii="Times New Roman" w:hAnsi="Times New Roman" w:eastAsia="宋体" w:cs="Times New Roman"/>
          <w:sz w:val="24"/>
        </w:rPr>
      </w:pPr>
      <w:r>
        <w:rPr>
          <w:rFonts w:hint="eastAsia" w:ascii="宋体" w:hAnsi="宋体" w:eastAsia="宋体" w:cs="宋体"/>
          <w:sz w:val="24"/>
        </w:rPr>
        <w:t>◆</w:t>
      </w:r>
      <w:r>
        <w:rPr>
          <w:rFonts w:ascii="Times New Roman" w:hAnsi="Times New Roman" w:eastAsia="宋体" w:cs="Times New Roman"/>
          <w:sz w:val="24"/>
        </w:rPr>
        <w:t xml:space="preserve"> 灯具的外罩、玻璃制品和固定托架的结构和强度应应满足总则中室外设备工作环境的风速条件，设置于灯柱顶端框架上的灯具也应具有上述的结构和强度；</w:t>
      </w:r>
    </w:p>
    <w:p>
      <w:pPr>
        <w:spacing w:line="360" w:lineRule="auto"/>
        <w:ind w:firstLine="480"/>
        <w:rPr>
          <w:rFonts w:ascii="Times New Roman" w:hAnsi="Times New Roman" w:eastAsia="宋体" w:cs="Times New Roman"/>
          <w:sz w:val="24"/>
        </w:rPr>
      </w:pPr>
      <w:r>
        <w:rPr>
          <w:rFonts w:hint="eastAsia" w:ascii="宋体" w:hAnsi="宋体" w:eastAsia="宋体" w:cs="宋体"/>
          <w:sz w:val="24"/>
        </w:rPr>
        <w:t>◆</w:t>
      </w:r>
      <w:r>
        <w:rPr>
          <w:rFonts w:ascii="Times New Roman" w:hAnsi="Times New Roman" w:eastAsia="宋体" w:cs="Times New Roman"/>
          <w:sz w:val="24"/>
        </w:rPr>
        <w:t xml:space="preserve"> 灯具的安装和拆除应方便。灯具的安装角度应能灵活调整。灯具的支撑底座可纵向任意调节。</w:t>
      </w:r>
    </w:p>
    <w:p>
      <w:pPr>
        <w:spacing w:line="360" w:lineRule="auto"/>
        <w:ind w:firstLine="480"/>
        <w:rPr>
          <w:rFonts w:ascii="Times New Roman" w:hAnsi="Times New Roman" w:eastAsia="宋体" w:cs="Times New Roman"/>
          <w:sz w:val="24"/>
        </w:rPr>
      </w:pPr>
      <w:r>
        <w:rPr>
          <w:rFonts w:hint="eastAsia" w:ascii="宋体" w:hAnsi="宋体" w:eastAsia="宋体" w:cs="宋体"/>
          <w:sz w:val="24"/>
        </w:rPr>
        <w:t>◆</w:t>
      </w:r>
      <w:r>
        <w:rPr>
          <w:rFonts w:ascii="Times New Roman" w:hAnsi="Times New Roman" w:eastAsia="宋体" w:cs="Times New Roman"/>
          <w:sz w:val="24"/>
        </w:rPr>
        <w:t xml:space="preserve"> 灯具光学部分采用多模组模式，其中一个模组损坏不影响另外模组的正常工作，散热外壳使用一体散热。</w:t>
      </w:r>
    </w:p>
    <w:p>
      <w:pPr>
        <w:spacing w:line="360" w:lineRule="auto"/>
        <w:ind w:firstLine="480"/>
        <w:rPr>
          <w:rFonts w:ascii="Times New Roman" w:hAnsi="Times New Roman" w:eastAsia="宋体" w:cs="Times New Roman"/>
          <w:sz w:val="24"/>
        </w:rPr>
      </w:pPr>
      <w:r>
        <w:rPr>
          <w:rFonts w:hint="eastAsia" w:ascii="宋体" w:hAnsi="宋体" w:eastAsia="宋体" w:cs="宋体"/>
          <w:sz w:val="24"/>
        </w:rPr>
        <w:t>◆</w:t>
      </w:r>
      <w:r>
        <w:rPr>
          <w:rFonts w:ascii="Times New Roman" w:hAnsi="Times New Roman" w:eastAsia="宋体" w:cs="Times New Roman"/>
          <w:sz w:val="24"/>
        </w:rPr>
        <w:t xml:space="preserve"> 灯具各密封件应耐高温，耐老化，密封性好，并方便更换，防水防尘用的密封圈应选用耐热、不易老化和富有足够压缩量新型硅橡胶材料。</w:t>
      </w:r>
    </w:p>
    <w:p>
      <w:pPr>
        <w:spacing w:line="360" w:lineRule="auto"/>
        <w:ind w:firstLine="480"/>
        <w:rPr>
          <w:rFonts w:ascii="Times New Roman" w:hAnsi="Times New Roman" w:eastAsia="宋体" w:cs="Times New Roman"/>
          <w:sz w:val="24"/>
        </w:rPr>
      </w:pPr>
      <w:r>
        <w:rPr>
          <w:rFonts w:hint="eastAsia" w:ascii="宋体" w:hAnsi="宋体" w:eastAsia="宋体" w:cs="宋体"/>
          <w:sz w:val="24"/>
        </w:rPr>
        <w:t>◆</w:t>
      </w:r>
      <w:r>
        <w:rPr>
          <w:rFonts w:ascii="Times New Roman" w:hAnsi="Times New Roman" w:eastAsia="宋体" w:cs="Times New Roman"/>
          <w:sz w:val="24"/>
        </w:rPr>
        <w:t xml:space="preserve"> 透镜、反射器、透光罩的材料应能承受灯具所标称最大功率光源在本地最恶劣气候条件（紫外线照射）下长时间（寿命期结束时）连续使用所产生的热量，不得降低材料的透光性能，光学计算选取的透光率/折射率等应为寿命期结束时的指标（提供国家级测试中心实测报告）；</w:t>
      </w:r>
    </w:p>
    <w:p>
      <w:pPr>
        <w:spacing w:line="360" w:lineRule="auto"/>
        <w:ind w:firstLine="480"/>
        <w:rPr>
          <w:rFonts w:ascii="Times New Roman" w:hAnsi="Times New Roman" w:eastAsia="宋体" w:cs="Times New Roman"/>
          <w:sz w:val="24"/>
          <w:highlight w:val="none"/>
        </w:rPr>
      </w:pPr>
      <w:r>
        <w:rPr>
          <w:rFonts w:hint="eastAsia" w:ascii="宋体" w:hAnsi="宋体" w:eastAsia="宋体" w:cs="宋体"/>
          <w:sz w:val="24"/>
        </w:rPr>
        <w:t>◆</w:t>
      </w:r>
      <w:r>
        <w:rPr>
          <w:rFonts w:ascii="Times New Roman" w:hAnsi="Times New Roman" w:eastAsia="宋体" w:cs="Times New Roman"/>
          <w:sz w:val="24"/>
        </w:rPr>
        <w:t xml:space="preserve"> 在环境温度-40℃～+65℃，环境湿度98%时，灯具可有效稳定点亮和长期运</w:t>
      </w:r>
      <w:r>
        <w:rPr>
          <w:rFonts w:ascii="Times New Roman" w:hAnsi="Times New Roman" w:eastAsia="宋体" w:cs="Times New Roman"/>
          <w:sz w:val="24"/>
          <w:highlight w:val="none"/>
        </w:rPr>
        <w:t>行。</w:t>
      </w:r>
      <w:r>
        <w:rPr>
          <w:rFonts w:hint="eastAsia" w:ascii="Times New Roman" w:hAnsi="Times New Roman" w:eastAsia="宋体" w:cs="Times New Roman"/>
          <w:sz w:val="24"/>
          <w:highlight w:val="none"/>
        </w:rPr>
        <w:t>25000小时光输出维持率不低于98%，提供国家电光源质量监督检测中心出具的光通维持率检测报告，</w:t>
      </w:r>
      <w:r>
        <w:rPr>
          <w:rFonts w:ascii="Times New Roman" w:hAnsi="Times New Roman" w:eastAsia="宋体" w:cs="Times New Roman"/>
          <w:sz w:val="24"/>
          <w:highlight w:val="none"/>
        </w:rPr>
        <w:t>灯具整体使用寿命不低于50000h。</w:t>
      </w:r>
    </w:p>
    <w:p>
      <w:pPr>
        <w:shd w:val="clear" w:color="auto" w:fill="FFFFFF"/>
        <w:spacing w:line="360" w:lineRule="auto"/>
        <w:ind w:left="427"/>
        <w:rPr>
          <w:rFonts w:ascii="宋体" w:hAnsi="Calibri" w:eastAsia="宋体" w:cs="Times New Roman"/>
          <w:sz w:val="24"/>
          <w:highlight w:val="none"/>
        </w:rPr>
      </w:pPr>
      <w:r>
        <w:rPr>
          <w:rFonts w:hint="eastAsia" w:ascii="宋体" w:hAnsi="宋体" w:eastAsia="宋体" w:cs="宋体"/>
          <w:sz w:val="24"/>
          <w:highlight w:val="none"/>
        </w:rPr>
        <w:t xml:space="preserve">◆ </w:t>
      </w:r>
      <w:r>
        <w:rPr>
          <w:rFonts w:hint="eastAsia" w:ascii="宋体" w:hAnsi="Calibri" w:eastAsia="宋体" w:cs="Times New Roman"/>
          <w:sz w:val="24"/>
          <w:highlight w:val="none"/>
        </w:rPr>
        <w:t>灯具通过1000小时的双85（温度85</w:t>
      </w:r>
      <w:r>
        <w:rPr>
          <w:rFonts w:ascii="宋体" w:hAnsi="宋体" w:eastAsia="宋体" w:cs="Times New Roman"/>
          <w:sz w:val="24"/>
          <w:highlight w:val="none"/>
        </w:rPr>
        <w:t>℃</w:t>
      </w:r>
      <w:r>
        <w:rPr>
          <w:rFonts w:hint="eastAsia" w:ascii="宋体" w:hAnsi="Calibri" w:eastAsia="宋体" w:cs="Times New Roman"/>
          <w:sz w:val="24"/>
          <w:highlight w:val="none"/>
        </w:rPr>
        <w:t>,湿度85%）恒定湿热测试，提供国家级检测机构的测试报告。</w:t>
      </w:r>
    </w:p>
    <w:p>
      <w:pPr>
        <w:spacing w:line="360" w:lineRule="auto"/>
        <w:ind w:firstLine="480"/>
        <w:rPr>
          <w:rFonts w:ascii="Times New Roman" w:hAnsi="Times New Roman" w:eastAsia="宋体" w:cs="Times New Roman"/>
          <w:sz w:val="24"/>
        </w:rPr>
      </w:pPr>
    </w:p>
    <w:p>
      <w:pPr>
        <w:spacing w:line="360" w:lineRule="auto"/>
        <w:ind w:firstLine="480"/>
        <w:rPr>
          <w:rFonts w:ascii="Times New Roman" w:hAnsi="Times New Roman" w:eastAsia="宋体" w:cs="Times New Roman"/>
          <w:sz w:val="24"/>
        </w:rPr>
      </w:pPr>
      <w:r>
        <w:rPr>
          <w:rFonts w:hint="eastAsia" w:ascii="宋体" w:hAnsi="宋体" w:eastAsia="宋体" w:cs="宋体"/>
          <w:sz w:val="24"/>
        </w:rPr>
        <w:t>◆</w:t>
      </w:r>
      <w:r>
        <w:rPr>
          <w:rFonts w:ascii="Times New Roman" w:hAnsi="Times New Roman" w:eastAsia="宋体" w:cs="Times New Roman"/>
          <w:sz w:val="24"/>
        </w:rPr>
        <w:t xml:space="preserve"> 灯具的壳体、灯具电缆接头和引入口等应密封良好。LED照明灯具必须为密封式，由特设导线引入。LED照明灯具接线应为防水电缆，线间接头应为防水接头。控制设备输入端电缆应设有防水接头，控制设备输出电缆应通过防水接头引入灯具。电缆防水接头的电能供应侧应为插孔（母头），电能接受侧应为插针（公头）。</w:t>
      </w:r>
    </w:p>
    <w:p>
      <w:pPr>
        <w:spacing w:line="360" w:lineRule="auto"/>
        <w:ind w:firstLine="480"/>
        <w:rPr>
          <w:rFonts w:ascii="Times New Roman" w:hAnsi="Times New Roman" w:eastAsia="宋体" w:cs="Times New Roman"/>
          <w:sz w:val="24"/>
        </w:rPr>
      </w:pPr>
      <w:r>
        <w:rPr>
          <w:rFonts w:hint="eastAsia" w:ascii="宋体" w:hAnsi="宋体" w:eastAsia="宋体" w:cs="宋体"/>
          <w:sz w:val="24"/>
        </w:rPr>
        <w:t>◆</w:t>
      </w:r>
      <w:r>
        <w:rPr>
          <w:rFonts w:ascii="Times New Roman" w:hAnsi="Times New Roman" w:eastAsia="宋体" w:cs="Times New Roman"/>
          <w:sz w:val="24"/>
        </w:rPr>
        <w:t xml:space="preserve"> 灯具接线穿过硬质材料时的保护措施应符合《灯具一般安全要求与实验》（GB7000.l-2002）中的有关规定。</w:t>
      </w:r>
    </w:p>
    <w:p>
      <w:pPr>
        <w:spacing w:line="360" w:lineRule="auto"/>
        <w:ind w:firstLine="480"/>
        <w:rPr>
          <w:rFonts w:ascii="Times New Roman" w:hAnsi="Times New Roman" w:eastAsia="宋体" w:cs="Times New Roman"/>
          <w:sz w:val="24"/>
          <w:highlight w:val="none"/>
        </w:rPr>
      </w:pPr>
      <w:r>
        <w:rPr>
          <w:rFonts w:hint="eastAsia" w:ascii="宋体" w:hAnsi="宋体" w:eastAsia="宋体" w:cs="宋体"/>
          <w:sz w:val="24"/>
        </w:rPr>
        <w:t>◆</w:t>
      </w:r>
      <w:r>
        <w:rPr>
          <w:rFonts w:ascii="Times New Roman" w:hAnsi="Times New Roman" w:eastAsia="宋体" w:cs="Times New Roman"/>
          <w:sz w:val="24"/>
        </w:rPr>
        <w:t xml:space="preserve"> 灯具具有优秀的散热系统，</w:t>
      </w:r>
      <w:r>
        <w:rPr>
          <w:rFonts w:ascii="Times New Roman" w:hAnsi="Times New Roman" w:eastAsia="宋体" w:cs="Times New Roman"/>
          <w:sz w:val="24"/>
          <w:highlight w:val="none"/>
        </w:rPr>
        <w:t>可采用非金属绝缘散热材料。</w:t>
      </w:r>
    </w:p>
    <w:p>
      <w:pPr>
        <w:spacing w:line="360" w:lineRule="auto"/>
        <w:ind w:firstLine="480"/>
        <w:rPr>
          <w:rFonts w:ascii="Times New Roman" w:hAnsi="Times New Roman" w:eastAsia="宋体" w:cs="Times New Roman"/>
          <w:sz w:val="24"/>
          <w:highlight w:val="none"/>
        </w:rPr>
      </w:pPr>
      <w:r>
        <w:rPr>
          <w:rFonts w:hint="eastAsia" w:ascii="宋体" w:hAnsi="宋体" w:eastAsia="宋体" w:cs="宋体"/>
          <w:sz w:val="24"/>
          <w:highlight w:val="none"/>
        </w:rPr>
        <w:t>◆</w:t>
      </w:r>
      <w:r>
        <w:rPr>
          <w:rFonts w:ascii="Times New Roman" w:hAnsi="Times New Roman" w:eastAsia="宋体" w:cs="Times New Roman"/>
          <w:sz w:val="24"/>
          <w:highlight w:val="none"/>
        </w:rPr>
        <w:t xml:space="preserve"> 照明灯具的防护等级和密封等级为IP6</w:t>
      </w:r>
      <w:r>
        <w:rPr>
          <w:rFonts w:hint="eastAsia" w:ascii="Times New Roman" w:hAnsi="Times New Roman" w:eastAsia="宋体" w:cs="Times New Roman"/>
          <w:sz w:val="24"/>
          <w:highlight w:val="none"/>
        </w:rPr>
        <w:t>5</w:t>
      </w:r>
      <w:r>
        <w:rPr>
          <w:rFonts w:ascii="Times New Roman" w:hAnsi="Times New Roman" w:eastAsia="宋体" w:cs="Times New Roman"/>
          <w:sz w:val="24"/>
          <w:highlight w:val="none"/>
        </w:rPr>
        <w:t>，电气绝缘I级。</w:t>
      </w:r>
    </w:p>
    <w:p>
      <w:pPr>
        <w:spacing w:line="360" w:lineRule="auto"/>
        <w:ind w:firstLine="480"/>
        <w:rPr>
          <w:rFonts w:ascii="Times New Roman" w:hAnsi="Times New Roman" w:eastAsia="宋体" w:cs="Times New Roman"/>
          <w:sz w:val="24"/>
          <w:highlight w:val="none"/>
        </w:rPr>
      </w:pPr>
      <w:r>
        <w:rPr>
          <w:rFonts w:hint="eastAsia" w:ascii="宋体" w:hAnsi="宋体" w:eastAsia="宋体" w:cs="宋体"/>
          <w:sz w:val="24"/>
          <w:highlight w:val="none"/>
        </w:rPr>
        <w:t>◆</w:t>
      </w:r>
      <w:r>
        <w:rPr>
          <w:rFonts w:ascii="Times New Roman" w:hAnsi="Times New Roman" w:eastAsia="宋体" w:cs="Times New Roman"/>
          <w:sz w:val="24"/>
          <w:highlight w:val="none"/>
        </w:rPr>
        <w:t xml:space="preserve"> 灯具宜配备高透光率玻璃及高反射率贴膜，最大限度提高光输出；</w:t>
      </w:r>
    </w:p>
    <w:p>
      <w:pPr>
        <w:spacing w:line="360" w:lineRule="auto"/>
        <w:ind w:firstLine="480"/>
        <w:rPr>
          <w:rFonts w:ascii="Times New Roman" w:hAnsi="Times New Roman" w:eastAsia="宋体" w:cs="Times New Roman"/>
          <w:sz w:val="24"/>
          <w:highlight w:val="none"/>
        </w:rPr>
      </w:pPr>
      <w:r>
        <w:rPr>
          <w:rFonts w:hint="eastAsia" w:ascii="宋体" w:hAnsi="宋体" w:eastAsia="宋体" w:cs="宋体"/>
          <w:sz w:val="24"/>
          <w:highlight w:val="none"/>
        </w:rPr>
        <w:t>◆</w:t>
      </w:r>
      <w:r>
        <w:rPr>
          <w:rFonts w:ascii="Times New Roman" w:hAnsi="Times New Roman" w:eastAsia="宋体" w:cs="Times New Roman"/>
          <w:sz w:val="24"/>
          <w:highlight w:val="none"/>
        </w:rPr>
        <w:t xml:space="preserve"> 灯具的设计应确保电源和LED 光源模块能在现场的灯杆上替换，LED 灯具的壳体(上框和下盖)应被设计成用搭扣进行紧固以确保方便的维护；</w:t>
      </w:r>
    </w:p>
    <w:p>
      <w:pPr>
        <w:spacing w:line="360" w:lineRule="auto"/>
        <w:ind w:firstLine="480"/>
        <w:rPr>
          <w:rFonts w:ascii="Times New Roman" w:hAnsi="Times New Roman" w:eastAsia="宋体" w:cs="Times New Roman"/>
          <w:sz w:val="24"/>
          <w:highlight w:val="none"/>
        </w:rPr>
      </w:pPr>
      <w:r>
        <w:rPr>
          <w:rFonts w:hint="eastAsia" w:ascii="宋体" w:hAnsi="宋体" w:eastAsia="宋体" w:cs="宋体"/>
          <w:sz w:val="24"/>
          <w:highlight w:val="none"/>
        </w:rPr>
        <w:t>◆</w:t>
      </w:r>
      <w:r>
        <w:rPr>
          <w:rFonts w:ascii="Times New Roman" w:hAnsi="Times New Roman" w:eastAsia="宋体" w:cs="Times New Roman"/>
          <w:sz w:val="24"/>
          <w:highlight w:val="none"/>
        </w:rPr>
        <w:t xml:space="preserve"> 灯具内应具备调整水平角度的设备构件；</w:t>
      </w:r>
    </w:p>
    <w:p>
      <w:pPr>
        <w:spacing w:line="360" w:lineRule="auto"/>
        <w:ind w:firstLine="480"/>
        <w:rPr>
          <w:rFonts w:ascii="Times New Roman" w:hAnsi="Times New Roman" w:eastAsia="宋体" w:cs="Times New Roman"/>
          <w:sz w:val="24"/>
          <w:highlight w:val="none"/>
        </w:rPr>
      </w:pPr>
      <w:r>
        <w:rPr>
          <w:rFonts w:hint="eastAsia" w:ascii="宋体" w:hAnsi="宋体" w:eastAsia="宋体" w:cs="宋体"/>
          <w:sz w:val="24"/>
          <w:highlight w:val="none"/>
        </w:rPr>
        <w:t>◆</w:t>
      </w:r>
      <w:r>
        <w:rPr>
          <w:rFonts w:ascii="Times New Roman" w:hAnsi="Times New Roman" w:eastAsia="宋体" w:cs="Times New Roman"/>
          <w:sz w:val="24"/>
          <w:highlight w:val="none"/>
        </w:rPr>
        <w:t xml:space="preserve"> 安装灯具的固定器件应具有良好的紧固性，表面进行防腐处理，主要紧固件采用不锈钢；灯罩卡口设计应便于调换，卡口应使用不锈钢材料；</w:t>
      </w:r>
    </w:p>
    <w:p>
      <w:pPr>
        <w:spacing w:line="360" w:lineRule="auto"/>
        <w:ind w:firstLine="480"/>
        <w:rPr>
          <w:rFonts w:ascii="Times New Roman" w:hAnsi="Times New Roman" w:eastAsia="宋体" w:cs="Times New Roman"/>
          <w:sz w:val="24"/>
        </w:rPr>
      </w:pPr>
      <w:r>
        <w:rPr>
          <w:rFonts w:hint="eastAsia" w:ascii="宋体" w:hAnsi="宋体" w:eastAsia="宋体" w:cs="宋体"/>
          <w:sz w:val="24"/>
          <w:highlight w:val="none"/>
        </w:rPr>
        <w:t>◆</w:t>
      </w:r>
      <w:r>
        <w:rPr>
          <w:rFonts w:ascii="Times New Roman" w:hAnsi="Times New Roman" w:eastAsia="宋体" w:cs="Times New Roman"/>
          <w:sz w:val="24"/>
          <w:highlight w:val="none"/>
        </w:rPr>
        <w:t xml:space="preserve"> 灯具证书要求：需提供本功率国家权威检测机构的相关报告或证书，至少包括CQC证书和CQC检测报告、光效报告</w:t>
      </w:r>
      <w:r>
        <w:rPr>
          <w:rFonts w:ascii="Times New Roman" w:hAnsi="Times New Roman" w:eastAsia="宋体" w:cs="Times New Roman"/>
          <w:sz w:val="24"/>
        </w:rPr>
        <w:t>等。</w:t>
      </w:r>
    </w:p>
    <w:p>
      <w:pPr>
        <w:spacing w:line="360" w:lineRule="auto"/>
        <w:ind w:firstLine="480"/>
        <w:rPr>
          <w:rFonts w:ascii="Times New Roman" w:hAnsi="Times New Roman" w:eastAsia="宋体" w:cs="Times New Roman"/>
          <w:sz w:val="24"/>
        </w:rPr>
      </w:pPr>
      <w:r>
        <w:rPr>
          <w:rFonts w:hint="eastAsia" w:ascii="宋体" w:hAnsi="宋体" w:eastAsia="宋体" w:cs="宋体"/>
          <w:sz w:val="24"/>
        </w:rPr>
        <w:t>◆</w:t>
      </w:r>
      <w:r>
        <w:rPr>
          <w:rFonts w:ascii="Times New Roman" w:hAnsi="Times New Roman" w:eastAsia="宋体" w:cs="Times New Roman"/>
          <w:sz w:val="24"/>
        </w:rPr>
        <w:t xml:space="preserve"> 灯具结构的标准和要求，除应符合本标准外，还应符合国家和行业现行的有关标准和要求。</w:t>
      </w:r>
    </w:p>
    <w:p>
      <w:pPr>
        <w:spacing w:line="360" w:lineRule="auto"/>
        <w:ind w:firstLine="480"/>
        <w:rPr>
          <w:rFonts w:ascii="Times New Roman" w:hAnsi="Times New Roman" w:eastAsia="宋体" w:cs="Times New Roman"/>
          <w:sz w:val="24"/>
        </w:rPr>
      </w:pPr>
      <w:r>
        <w:rPr>
          <w:rFonts w:ascii="Times New Roman" w:hAnsi="Times New Roman" w:eastAsia="宋体" w:cs="Times New Roman"/>
          <w:sz w:val="24"/>
        </w:rPr>
        <w:t>（2）光源</w:t>
      </w:r>
    </w:p>
    <w:p>
      <w:pPr>
        <w:spacing w:line="360" w:lineRule="auto"/>
        <w:ind w:firstLine="592" w:firstLineChars="247"/>
        <w:rPr>
          <w:rFonts w:ascii="Times New Roman" w:hAnsi="Times New Roman" w:eastAsia="宋体" w:cs="Times New Roman"/>
          <w:sz w:val="24"/>
        </w:rPr>
      </w:pPr>
      <w:r>
        <w:rPr>
          <w:rFonts w:ascii="Times New Roman" w:hAnsi="Times New Roman" w:eastAsia="宋体" w:cs="Times New Roman"/>
          <w:sz w:val="24"/>
        </w:rPr>
        <w:t>LED器件（芯片）要求采用国际一流进口品牌和成熟的功率型芯片产品（如日亚、欧司朗、Cree、流明），等原装功率不低于1W的大功率白光LED。</w:t>
      </w:r>
      <w:r>
        <w:rPr>
          <w:rFonts w:ascii="Times New Roman" w:hAnsi="Times New Roman" w:eastAsia="宋体" w:cs="Times New Roman"/>
          <w:kern w:val="0"/>
          <w:sz w:val="24"/>
        </w:rPr>
        <w:t>采用当前国际一流的功率型LED 芯片封装技术，保证功率型LED 工作的稳定性、可靠性及高效性。</w:t>
      </w:r>
    </w:p>
    <w:p>
      <w:pPr>
        <w:spacing w:line="360" w:lineRule="auto"/>
        <w:ind w:firstLine="480"/>
        <w:rPr>
          <w:rFonts w:ascii="Times New Roman" w:hAnsi="Times New Roman" w:eastAsia="宋体" w:cs="Times New Roman"/>
          <w:sz w:val="24"/>
        </w:rPr>
      </w:pPr>
      <w:r>
        <w:rPr>
          <w:rFonts w:hint="eastAsia" w:ascii="宋体" w:hAnsi="宋体" w:eastAsia="宋体" w:cs="宋体"/>
          <w:sz w:val="24"/>
        </w:rPr>
        <w:t>◆</w:t>
      </w:r>
      <w:r>
        <w:rPr>
          <w:rFonts w:ascii="Times New Roman" w:hAnsi="Times New Roman" w:eastAsia="宋体" w:cs="Times New Roman"/>
          <w:sz w:val="24"/>
        </w:rPr>
        <w:t xml:space="preserve"> 全套灯具安装完毕后，按照整灯计算的灯具光效不应小于160 lm/W，；灯具功率因数不小于0.95（以国家电光源检测中心或国家交通安全设施质量监督检验中心出具的检测报告为准）；</w:t>
      </w:r>
    </w:p>
    <w:p>
      <w:pPr>
        <w:spacing w:line="360" w:lineRule="auto"/>
        <w:ind w:firstLine="480"/>
        <w:rPr>
          <w:rFonts w:ascii="Times New Roman" w:hAnsi="Times New Roman" w:eastAsia="宋体" w:cs="Times New Roman"/>
          <w:sz w:val="24"/>
        </w:rPr>
      </w:pPr>
      <w:r>
        <w:rPr>
          <w:rFonts w:hint="eastAsia" w:ascii="宋体" w:hAnsi="宋体" w:eastAsia="宋体" w:cs="宋体"/>
          <w:sz w:val="24"/>
        </w:rPr>
        <w:t>◆</w:t>
      </w:r>
      <w:r>
        <w:rPr>
          <w:rFonts w:ascii="Times New Roman" w:hAnsi="Times New Roman" w:eastAsia="宋体" w:cs="Times New Roman"/>
          <w:sz w:val="24"/>
        </w:rPr>
        <w:t xml:space="preserve"> 灯具光衰应满足以下要求：10000小时整体光衰不超过1%，15000小时整体光衰不超过3%。</w:t>
      </w:r>
    </w:p>
    <w:p>
      <w:pPr>
        <w:spacing w:line="360" w:lineRule="auto"/>
        <w:ind w:firstLine="480"/>
        <w:rPr>
          <w:rFonts w:ascii="Times New Roman" w:hAnsi="Times New Roman" w:eastAsia="宋体" w:cs="Times New Roman"/>
          <w:sz w:val="24"/>
        </w:rPr>
      </w:pPr>
      <w:r>
        <w:rPr>
          <w:rFonts w:hint="eastAsia" w:ascii="宋体" w:hAnsi="宋体" w:eastAsia="宋体" w:cs="宋体"/>
          <w:sz w:val="24"/>
        </w:rPr>
        <w:t>◆</w:t>
      </w:r>
      <w:r>
        <w:rPr>
          <w:rFonts w:ascii="Times New Roman" w:hAnsi="Times New Roman" w:eastAsia="宋体" w:cs="Times New Roman"/>
          <w:sz w:val="24"/>
        </w:rPr>
        <w:t xml:space="preserve"> 色温4000K&lt;Tc&lt;4500K，显色指数应不低于70。</w:t>
      </w:r>
    </w:p>
    <w:p>
      <w:pPr>
        <w:spacing w:line="360" w:lineRule="auto"/>
        <w:ind w:firstLine="480"/>
        <w:rPr>
          <w:rFonts w:ascii="Times New Roman" w:hAnsi="Times New Roman" w:eastAsia="宋体" w:cs="Times New Roman"/>
          <w:sz w:val="24"/>
        </w:rPr>
      </w:pPr>
      <w:r>
        <w:rPr>
          <w:rFonts w:hint="eastAsia" w:ascii="宋体" w:hAnsi="宋体" w:eastAsia="宋体" w:cs="宋体"/>
          <w:sz w:val="24"/>
        </w:rPr>
        <w:t>◆</w:t>
      </w:r>
      <w:r>
        <w:rPr>
          <w:rFonts w:ascii="Times New Roman" w:hAnsi="Times New Roman" w:eastAsia="宋体" w:cs="Times New Roman"/>
          <w:sz w:val="24"/>
        </w:rPr>
        <w:t xml:space="preserve"> 考虑LED光源的发热效果，为保证LED光源的正常工作，要求灯具的散热能保证灯具在长时间正常稳定工作状态下，热平衡时LED结温不应高于80℃。</w:t>
      </w:r>
    </w:p>
    <w:p>
      <w:pPr>
        <w:spacing w:line="360" w:lineRule="auto"/>
        <w:ind w:firstLine="480"/>
        <w:rPr>
          <w:rFonts w:ascii="Times New Roman" w:hAnsi="Times New Roman" w:eastAsia="宋体" w:cs="Times New Roman"/>
          <w:sz w:val="24"/>
        </w:rPr>
      </w:pPr>
      <w:r>
        <w:rPr>
          <w:rFonts w:hint="eastAsia" w:ascii="宋体" w:hAnsi="宋体" w:eastAsia="宋体" w:cs="宋体"/>
          <w:sz w:val="24"/>
        </w:rPr>
        <w:t>◆</w:t>
      </w:r>
      <w:r>
        <w:rPr>
          <w:rFonts w:ascii="Times New Roman" w:hAnsi="Times New Roman" w:eastAsia="宋体" w:cs="Times New Roman"/>
          <w:sz w:val="24"/>
        </w:rPr>
        <w:t xml:space="preserve"> 灯具应配备浪涌保护器等，提高配件的相互兼容性，延长使用寿命，以确保整套灯具运行的稳定。</w:t>
      </w:r>
    </w:p>
    <w:p>
      <w:pPr>
        <w:spacing w:line="360" w:lineRule="auto"/>
        <w:ind w:firstLine="480"/>
        <w:rPr>
          <w:rFonts w:ascii="Times New Roman" w:hAnsi="Times New Roman" w:eastAsia="宋体" w:cs="Times New Roman"/>
          <w:sz w:val="24"/>
        </w:rPr>
      </w:pPr>
      <w:r>
        <w:rPr>
          <w:rFonts w:hint="eastAsia" w:ascii="宋体" w:hAnsi="宋体" w:eastAsia="宋体" w:cs="宋体"/>
          <w:sz w:val="24"/>
        </w:rPr>
        <w:t>◆</w:t>
      </w:r>
      <w:r>
        <w:rPr>
          <w:rFonts w:ascii="Times New Roman" w:hAnsi="Times New Roman" w:eastAsia="宋体" w:cs="Times New Roman"/>
          <w:sz w:val="24"/>
        </w:rPr>
        <w:t xml:space="preserve"> 介电强度：能承受交流50HZ、1500V（有效值）试验电压，历时1分钟应无击穿或闪络现象；</w:t>
      </w:r>
    </w:p>
    <w:p>
      <w:pPr>
        <w:spacing w:line="360" w:lineRule="auto"/>
        <w:ind w:firstLine="480"/>
        <w:rPr>
          <w:rFonts w:ascii="Times New Roman" w:hAnsi="Times New Roman" w:eastAsia="宋体" w:cs="Times New Roman"/>
          <w:sz w:val="24"/>
        </w:rPr>
      </w:pPr>
      <w:r>
        <w:rPr>
          <w:rFonts w:hint="eastAsia" w:ascii="宋体" w:hAnsi="宋体" w:eastAsia="宋体" w:cs="宋体"/>
          <w:sz w:val="24"/>
        </w:rPr>
        <w:t>◆</w:t>
      </w:r>
      <w:r>
        <w:rPr>
          <w:rFonts w:ascii="Times New Roman" w:hAnsi="Times New Roman" w:eastAsia="宋体" w:cs="Times New Roman"/>
          <w:sz w:val="24"/>
        </w:rPr>
        <w:t xml:space="preserve"> 灯具安装姿态下80度光强应小于100cd/1000lm；</w:t>
      </w:r>
    </w:p>
    <w:p>
      <w:pPr>
        <w:spacing w:line="360" w:lineRule="auto"/>
        <w:ind w:firstLine="480"/>
        <w:rPr>
          <w:rFonts w:ascii="Times New Roman" w:hAnsi="Times New Roman" w:eastAsia="宋体" w:cs="Times New Roman"/>
          <w:sz w:val="24"/>
        </w:rPr>
      </w:pPr>
      <w:r>
        <w:rPr>
          <w:rFonts w:hint="eastAsia" w:ascii="宋体" w:hAnsi="宋体" w:eastAsia="宋体" w:cs="宋体"/>
          <w:sz w:val="24"/>
        </w:rPr>
        <w:t>◆</w:t>
      </w:r>
      <w:r>
        <w:rPr>
          <w:rFonts w:ascii="Times New Roman" w:hAnsi="Times New Roman" w:eastAsia="宋体" w:cs="Times New Roman"/>
          <w:sz w:val="24"/>
        </w:rPr>
        <w:t xml:space="preserve"> 每一个独立的LED 光源应具有单个独立透镜或反光杯等进行二次配光以确保灯具的配光适合应用；</w:t>
      </w:r>
    </w:p>
    <w:p>
      <w:pPr>
        <w:spacing w:line="360" w:lineRule="auto"/>
        <w:ind w:firstLine="480"/>
        <w:rPr>
          <w:rFonts w:ascii="Times New Roman" w:hAnsi="Times New Roman" w:eastAsia="宋体" w:cs="Times New Roman"/>
          <w:sz w:val="24"/>
        </w:rPr>
      </w:pPr>
      <w:r>
        <w:rPr>
          <w:rFonts w:hint="eastAsia" w:ascii="宋体" w:hAnsi="宋体" w:eastAsia="宋体" w:cs="宋体"/>
          <w:sz w:val="24"/>
        </w:rPr>
        <w:t>◆</w:t>
      </w:r>
      <w:r>
        <w:rPr>
          <w:rFonts w:ascii="Times New Roman" w:hAnsi="Times New Roman" w:eastAsia="宋体" w:cs="Times New Roman"/>
          <w:sz w:val="24"/>
        </w:rPr>
        <w:t xml:space="preserve"> 应具有良好的防眩性能；</w:t>
      </w:r>
    </w:p>
    <w:p>
      <w:pPr>
        <w:spacing w:line="360" w:lineRule="auto"/>
        <w:ind w:firstLine="480"/>
        <w:rPr>
          <w:rFonts w:ascii="Times New Roman" w:hAnsi="Times New Roman" w:eastAsia="宋体" w:cs="Times New Roman"/>
          <w:sz w:val="24"/>
        </w:rPr>
      </w:pPr>
      <w:r>
        <w:rPr>
          <w:rFonts w:hint="eastAsia" w:ascii="宋体" w:hAnsi="宋体" w:eastAsia="宋体" w:cs="宋体"/>
          <w:sz w:val="24"/>
        </w:rPr>
        <w:t>◆</w:t>
      </w:r>
      <w:r>
        <w:rPr>
          <w:rFonts w:ascii="Times New Roman" w:hAnsi="Times New Roman" w:eastAsia="宋体" w:cs="Times New Roman"/>
          <w:sz w:val="24"/>
        </w:rPr>
        <w:t xml:space="preserve"> 灯具lm距离处，其噪声指标应≤55dB(A声级)；</w:t>
      </w:r>
    </w:p>
    <w:p>
      <w:pPr>
        <w:spacing w:line="360" w:lineRule="auto"/>
        <w:ind w:firstLine="480"/>
        <w:rPr>
          <w:rFonts w:ascii="Times New Roman" w:hAnsi="Times New Roman" w:eastAsia="宋体" w:cs="Times New Roman"/>
          <w:sz w:val="24"/>
        </w:rPr>
      </w:pPr>
      <w:r>
        <w:rPr>
          <w:rFonts w:hint="eastAsia" w:ascii="宋体" w:hAnsi="宋体" w:eastAsia="宋体" w:cs="宋体"/>
          <w:sz w:val="24"/>
        </w:rPr>
        <w:t>◆</w:t>
      </w:r>
      <w:r>
        <w:rPr>
          <w:rFonts w:ascii="Times New Roman" w:hAnsi="Times New Roman" w:eastAsia="宋体" w:cs="Times New Roman"/>
          <w:sz w:val="24"/>
        </w:rPr>
        <w:t xml:space="preserve"> 灯条须有螺丝固定，螺丝应选用不锈钢材料，尺寸不大于3种，适用于十字、一字紧固工具；</w:t>
      </w:r>
    </w:p>
    <w:p>
      <w:pPr>
        <w:spacing w:line="360" w:lineRule="auto"/>
        <w:ind w:firstLine="480"/>
        <w:rPr>
          <w:rFonts w:ascii="Times New Roman" w:hAnsi="Times New Roman" w:eastAsia="宋体" w:cs="Times New Roman"/>
          <w:sz w:val="24"/>
        </w:rPr>
      </w:pPr>
      <w:r>
        <w:rPr>
          <w:rFonts w:hint="eastAsia" w:ascii="宋体" w:hAnsi="宋体" w:eastAsia="宋体" w:cs="宋体"/>
          <w:sz w:val="24"/>
        </w:rPr>
        <w:t>◆</w:t>
      </w:r>
      <w:r>
        <w:rPr>
          <w:rFonts w:ascii="Times New Roman" w:hAnsi="Times New Roman" w:eastAsia="宋体" w:cs="Times New Roman"/>
          <w:sz w:val="24"/>
        </w:rPr>
        <w:t xml:space="preserve"> 承包人在选择照明灯具时要预先考虑到由于光源输出流明的损耗，灯具中灰尘的积累以及光能在空气中的衰耗等因素造成的光源输出流明的损耗，灯具配光应满足道路照明的指标要求。</w:t>
      </w:r>
    </w:p>
    <w:p>
      <w:pPr>
        <w:spacing w:line="360" w:lineRule="auto"/>
        <w:ind w:firstLine="480"/>
        <w:rPr>
          <w:rFonts w:ascii="Times New Roman" w:hAnsi="Times New Roman" w:eastAsia="宋体" w:cs="Times New Roman"/>
          <w:sz w:val="24"/>
          <w:highlight w:val="none"/>
        </w:rPr>
      </w:pPr>
      <w:r>
        <w:rPr>
          <w:rFonts w:ascii="Times New Roman" w:hAnsi="Times New Roman" w:eastAsia="宋体" w:cs="Times New Roman"/>
          <w:sz w:val="24"/>
        </w:rPr>
        <w:t>（3）驱动芯片或电源</w:t>
      </w:r>
      <w:r>
        <w:rPr>
          <w:rFonts w:hint="eastAsia" w:ascii="Times New Roman" w:hAnsi="Times New Roman" w:eastAsia="宋体" w:cs="Times New Roman"/>
          <w:sz w:val="24"/>
        </w:rPr>
        <w:t>采用知名</w:t>
      </w:r>
      <w:bookmarkStart w:id="3" w:name="_GoBack"/>
      <w:r>
        <w:rPr>
          <w:rFonts w:hint="eastAsia" w:ascii="Times New Roman" w:hAnsi="Times New Roman" w:eastAsia="宋体" w:cs="Times New Roman"/>
          <w:sz w:val="24"/>
          <w:highlight w:val="none"/>
        </w:rPr>
        <w:t>品牌（飞利浦、茂硕、明纬、英飞特）</w:t>
      </w:r>
    </w:p>
    <w:bookmarkEnd w:id="3"/>
    <w:p>
      <w:pPr>
        <w:spacing w:line="360" w:lineRule="auto"/>
        <w:ind w:firstLine="480"/>
        <w:rPr>
          <w:rFonts w:ascii="Times New Roman" w:hAnsi="Times New Roman" w:eastAsia="宋体" w:cs="Times New Roman"/>
          <w:sz w:val="24"/>
        </w:rPr>
      </w:pPr>
      <w:r>
        <w:rPr>
          <w:rFonts w:hint="eastAsia" w:ascii="宋体" w:hAnsi="宋体" w:eastAsia="宋体" w:cs="宋体"/>
          <w:sz w:val="24"/>
        </w:rPr>
        <w:t>◆</w:t>
      </w:r>
      <w:r>
        <w:rPr>
          <w:rFonts w:ascii="Times New Roman" w:hAnsi="Times New Roman" w:eastAsia="宋体" w:cs="Times New Roman"/>
          <w:sz w:val="24"/>
        </w:rPr>
        <w:t xml:space="preserve"> 交流输入电压：AC100-240V或三相380V±20%；</w:t>
      </w:r>
    </w:p>
    <w:p>
      <w:pPr>
        <w:spacing w:line="360" w:lineRule="auto"/>
        <w:ind w:firstLine="480"/>
        <w:rPr>
          <w:rFonts w:ascii="Times New Roman" w:hAnsi="Times New Roman" w:eastAsia="宋体" w:cs="Times New Roman"/>
          <w:sz w:val="24"/>
        </w:rPr>
      </w:pPr>
      <w:r>
        <w:rPr>
          <w:rFonts w:hint="eastAsia" w:ascii="宋体" w:hAnsi="宋体" w:eastAsia="宋体" w:cs="宋体"/>
          <w:sz w:val="24"/>
        </w:rPr>
        <w:t>◆</w:t>
      </w:r>
      <w:r>
        <w:rPr>
          <w:rFonts w:ascii="Times New Roman" w:hAnsi="Times New Roman" w:eastAsia="宋体" w:cs="Times New Roman"/>
          <w:sz w:val="24"/>
        </w:rPr>
        <w:t xml:space="preserve"> 功率因数：≥0.95；</w:t>
      </w:r>
    </w:p>
    <w:p>
      <w:pPr>
        <w:spacing w:line="360" w:lineRule="auto"/>
        <w:ind w:firstLine="480"/>
        <w:rPr>
          <w:rFonts w:ascii="Times New Roman" w:hAnsi="Times New Roman" w:eastAsia="宋体" w:cs="Times New Roman"/>
          <w:sz w:val="24"/>
        </w:rPr>
      </w:pPr>
      <w:r>
        <w:rPr>
          <w:rFonts w:hint="eastAsia" w:ascii="宋体" w:hAnsi="宋体" w:eastAsia="宋体" w:cs="宋体"/>
          <w:sz w:val="24"/>
        </w:rPr>
        <w:t>◆</w:t>
      </w:r>
      <w:r>
        <w:rPr>
          <w:rFonts w:ascii="Times New Roman" w:hAnsi="Times New Roman" w:eastAsia="宋体" w:cs="Times New Roman"/>
          <w:sz w:val="24"/>
        </w:rPr>
        <w:t xml:space="preserve"> 电源的使用寿命应不少于50000h。</w:t>
      </w:r>
    </w:p>
    <w:p>
      <w:pPr>
        <w:spacing w:line="360" w:lineRule="auto"/>
        <w:ind w:firstLine="480"/>
        <w:rPr>
          <w:rFonts w:ascii="Times New Roman" w:hAnsi="Times New Roman" w:eastAsia="宋体" w:cs="Times New Roman"/>
          <w:sz w:val="24"/>
        </w:rPr>
      </w:pPr>
      <w:r>
        <w:rPr>
          <w:rFonts w:hint="eastAsia" w:ascii="宋体" w:hAnsi="宋体" w:eastAsia="宋体" w:cs="宋体"/>
          <w:sz w:val="24"/>
        </w:rPr>
        <w:t>◆</w:t>
      </w:r>
      <w:r>
        <w:rPr>
          <w:rFonts w:ascii="Times New Roman" w:hAnsi="Times New Roman" w:eastAsia="宋体" w:cs="Times New Roman"/>
          <w:sz w:val="24"/>
        </w:rPr>
        <w:t xml:space="preserve"> 防护等级：IP67；</w:t>
      </w:r>
    </w:p>
    <w:p>
      <w:pPr>
        <w:spacing w:line="360" w:lineRule="auto"/>
        <w:ind w:firstLine="480"/>
        <w:rPr>
          <w:rFonts w:ascii="Times New Roman" w:hAnsi="Times New Roman" w:eastAsia="宋体" w:cs="Times New Roman"/>
          <w:sz w:val="24"/>
        </w:rPr>
      </w:pPr>
      <w:r>
        <w:rPr>
          <w:rFonts w:hint="eastAsia" w:ascii="宋体" w:hAnsi="宋体" w:eastAsia="宋体" w:cs="宋体"/>
          <w:sz w:val="24"/>
        </w:rPr>
        <w:t>◆</w:t>
      </w:r>
      <w:r>
        <w:rPr>
          <w:rFonts w:ascii="Times New Roman" w:hAnsi="Times New Roman" w:eastAsia="宋体" w:cs="Times New Roman"/>
          <w:sz w:val="24"/>
        </w:rPr>
        <w:t xml:space="preserve"> 电源输入端与LED灯具壳体之间或电源输出端之间的绝缘电阻不小于5MΩ。电源输出端与灯具壳体、散热体之间的绝缘电阻不小于1MΩ。电源输入端与电源壳体之间或电源输出端之间应能承受1500V的工频电压。</w:t>
      </w:r>
    </w:p>
    <w:p>
      <w:pPr>
        <w:spacing w:line="360" w:lineRule="auto"/>
        <w:ind w:firstLine="480"/>
        <w:rPr>
          <w:rFonts w:ascii="Times New Roman" w:hAnsi="Times New Roman" w:eastAsia="宋体" w:cs="Times New Roman"/>
          <w:sz w:val="24"/>
        </w:rPr>
      </w:pPr>
      <w:r>
        <w:rPr>
          <w:rFonts w:hint="eastAsia" w:ascii="宋体" w:hAnsi="宋体" w:eastAsia="宋体" w:cs="宋体"/>
          <w:sz w:val="24"/>
        </w:rPr>
        <w:t>◆</w:t>
      </w:r>
      <w:r>
        <w:rPr>
          <w:rFonts w:ascii="Times New Roman" w:hAnsi="Times New Roman" w:eastAsia="宋体" w:cs="Times New Roman"/>
          <w:sz w:val="24"/>
        </w:rPr>
        <w:t xml:space="preserve"> 电源应具有过流、过热、短路、雷击以及开关冲击等防护功能，其防护功能应符合有关标准。</w:t>
      </w:r>
    </w:p>
    <w:p>
      <w:pPr>
        <w:spacing w:line="360" w:lineRule="auto"/>
        <w:ind w:firstLine="480"/>
        <w:rPr>
          <w:rFonts w:ascii="Times New Roman" w:hAnsi="Times New Roman" w:eastAsia="宋体" w:cs="Times New Roman"/>
          <w:sz w:val="24"/>
        </w:rPr>
      </w:pPr>
      <w:r>
        <w:rPr>
          <w:rFonts w:hint="eastAsia" w:ascii="宋体" w:hAnsi="宋体" w:eastAsia="宋体" w:cs="宋体"/>
          <w:sz w:val="24"/>
        </w:rPr>
        <w:t>◆</w:t>
      </w:r>
      <w:r>
        <w:rPr>
          <w:rFonts w:ascii="Times New Roman" w:hAnsi="Times New Roman" w:eastAsia="宋体" w:cs="Times New Roman"/>
          <w:sz w:val="24"/>
        </w:rPr>
        <w:t xml:space="preserve"> 电源在-55℃～+65℃工作环境温度和50Hz±2Hz工作频率下应保证可正常工作。</w:t>
      </w:r>
    </w:p>
    <w:p>
      <w:pPr>
        <w:spacing w:line="360" w:lineRule="auto"/>
        <w:ind w:firstLine="480"/>
        <w:rPr>
          <w:rFonts w:ascii="Times New Roman" w:hAnsi="Times New Roman" w:eastAsia="宋体" w:cs="Times New Roman"/>
          <w:sz w:val="24"/>
        </w:rPr>
      </w:pPr>
      <w:r>
        <w:rPr>
          <w:rFonts w:hint="eastAsia" w:ascii="宋体" w:hAnsi="宋体" w:eastAsia="宋体" w:cs="宋体"/>
          <w:sz w:val="24"/>
        </w:rPr>
        <w:t>◆</w:t>
      </w:r>
      <w:r>
        <w:rPr>
          <w:rFonts w:ascii="Times New Roman" w:hAnsi="Times New Roman" w:eastAsia="宋体" w:cs="Times New Roman"/>
          <w:sz w:val="24"/>
        </w:rPr>
        <w:t xml:space="preserve"> 电源应具有过压保护功能，即输入端电压超过额定工作电压1.4倍时，灯具应具有自我保护功能；等电压恢复正常时，灯具又可正常工作。</w:t>
      </w:r>
    </w:p>
    <w:p>
      <w:pPr>
        <w:pStyle w:val="12"/>
        <w:ind w:left="0" w:leftChars="0" w:firstLine="0" w:firstLineChars="0"/>
        <w:rPr>
          <w:rFonts w:hint="default" w:ascii="Times New Roman" w:hAnsi="Times New Roman" w:eastAsia="宋体" w:cs="Times New Roman"/>
          <w:b/>
          <w:snapToGrid w:val="0"/>
          <w:kern w:val="0"/>
          <w:sz w:val="24"/>
          <w:szCs w:val="24"/>
        </w:rPr>
      </w:pPr>
    </w:p>
    <w:p>
      <w:pPr>
        <w:numPr>
          <w:ilvl w:val="0"/>
          <w:numId w:val="3"/>
        </w:numPr>
        <w:topLinePunct/>
        <w:spacing w:line="360" w:lineRule="auto"/>
        <w:outlineLvl w:val="1"/>
        <w:rPr>
          <w:rFonts w:hint="default" w:ascii="Times New Roman" w:hAnsi="Times New Roman" w:eastAsia="宋体" w:cs="Times New Roman"/>
          <w:b/>
          <w:snapToGrid w:val="0"/>
          <w:kern w:val="0"/>
          <w:sz w:val="24"/>
          <w:szCs w:val="24"/>
        </w:rPr>
      </w:pPr>
      <w:r>
        <w:rPr>
          <w:rFonts w:hint="default" w:ascii="Times New Roman" w:hAnsi="Times New Roman" w:eastAsia="宋体" w:cs="Times New Roman"/>
          <w:b/>
          <w:snapToGrid w:val="0"/>
          <w:kern w:val="0"/>
          <w:sz w:val="24"/>
          <w:szCs w:val="24"/>
        </w:rPr>
        <w:t>供应商资格条件</w:t>
      </w:r>
    </w:p>
    <w:p>
      <w:pPr>
        <w:pStyle w:val="6"/>
        <w:ind w:firstLine="48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信用信誉良好，所供设备符合本工程量清单设备技术要求。</w:t>
      </w:r>
    </w:p>
    <w:p>
      <w:pPr>
        <w:numPr>
          <w:ilvl w:val="0"/>
          <w:numId w:val="3"/>
        </w:numPr>
        <w:topLinePunct/>
        <w:spacing w:line="360" w:lineRule="auto"/>
        <w:outlineLvl w:val="1"/>
        <w:rPr>
          <w:rFonts w:hint="default" w:ascii="Times New Roman" w:hAnsi="Times New Roman" w:eastAsia="宋体" w:cs="Times New Roman"/>
          <w:b/>
          <w:snapToGrid w:val="0"/>
          <w:kern w:val="0"/>
          <w:sz w:val="24"/>
          <w:szCs w:val="24"/>
        </w:rPr>
      </w:pPr>
      <w:r>
        <w:rPr>
          <w:rFonts w:hint="default" w:ascii="Times New Roman" w:hAnsi="Times New Roman" w:eastAsia="宋体" w:cs="Times New Roman"/>
          <w:b/>
          <w:snapToGrid w:val="0"/>
          <w:kern w:val="0"/>
          <w:sz w:val="24"/>
          <w:szCs w:val="24"/>
        </w:rPr>
        <w:t>响应回执的递交</w:t>
      </w:r>
    </w:p>
    <w:p>
      <w:pPr>
        <w:spacing w:line="360" w:lineRule="auto"/>
        <w:ind w:firstLine="480" w:firstLineChars="200"/>
        <w:rPr>
          <w:rFonts w:hint="default" w:ascii="Times New Roman" w:hAnsi="Times New Roman" w:eastAsia="宋体" w:cs="Times New Roman"/>
          <w:snapToGrid w:val="0"/>
          <w:color w:val="000000"/>
          <w:kern w:val="0"/>
          <w:sz w:val="24"/>
          <w:szCs w:val="24"/>
        </w:rPr>
      </w:pPr>
      <w:r>
        <w:rPr>
          <w:rFonts w:hint="default" w:ascii="Times New Roman" w:hAnsi="Times New Roman" w:eastAsia="宋体" w:cs="Times New Roman"/>
          <w:sz w:val="24"/>
          <w:szCs w:val="24"/>
        </w:rPr>
        <w:t>凡有意参加本次采购且具备履行本项目能力的供应商，请</w:t>
      </w:r>
      <w:r>
        <w:rPr>
          <w:rFonts w:hint="default" w:ascii="Times New Roman" w:hAnsi="Times New Roman" w:eastAsia="宋体" w:cs="Times New Roman"/>
          <w:color w:val="000000"/>
          <w:sz w:val="24"/>
          <w:szCs w:val="24"/>
        </w:rPr>
        <w:t>将附于本公告后的</w:t>
      </w:r>
      <w:r>
        <w:rPr>
          <w:rFonts w:hint="default" w:ascii="Times New Roman" w:hAnsi="Times New Roman" w:eastAsia="宋体" w:cs="Times New Roman"/>
          <w:color w:val="FF0000"/>
          <w:sz w:val="24"/>
          <w:szCs w:val="24"/>
        </w:rPr>
        <w:t>响应回执</w:t>
      </w:r>
      <w:r>
        <w:rPr>
          <w:rFonts w:hint="eastAsia" w:cs="Times New Roman"/>
          <w:color w:val="FF0000"/>
          <w:sz w:val="24"/>
          <w:szCs w:val="24"/>
          <w:lang w:eastAsia="zh-CN"/>
        </w:rPr>
        <w:t>及响应公司营业执照扫描件</w:t>
      </w:r>
      <w:r>
        <w:rPr>
          <w:rFonts w:hint="default" w:ascii="Times New Roman" w:hAnsi="Times New Roman" w:eastAsia="宋体" w:cs="Times New Roman"/>
          <w:color w:val="000000"/>
          <w:sz w:val="24"/>
          <w:szCs w:val="24"/>
        </w:rPr>
        <w:t>在</w:t>
      </w:r>
      <w:r>
        <w:rPr>
          <w:rFonts w:hint="default" w:ascii="Times New Roman" w:hAnsi="Times New Roman" w:eastAsia="宋体" w:cs="Times New Roman"/>
          <w:color w:val="000000"/>
          <w:sz w:val="24"/>
          <w:szCs w:val="24"/>
          <w:u w:val="single"/>
        </w:rPr>
        <w:t>202</w:t>
      </w:r>
      <w:r>
        <w:rPr>
          <w:rFonts w:hint="eastAsia" w:cs="Times New Roman"/>
          <w:color w:val="000000"/>
          <w:sz w:val="24"/>
          <w:szCs w:val="24"/>
          <w:u w:val="single"/>
          <w:lang w:val="en-US" w:eastAsia="zh-CN"/>
        </w:rPr>
        <w:t>4</w:t>
      </w:r>
      <w:r>
        <w:rPr>
          <w:rFonts w:hint="default" w:ascii="Times New Roman" w:hAnsi="Times New Roman" w:eastAsia="宋体" w:cs="Times New Roman"/>
          <w:color w:val="000000"/>
          <w:sz w:val="24"/>
          <w:szCs w:val="24"/>
          <w:u w:val="single"/>
        </w:rPr>
        <w:t>年</w:t>
      </w:r>
      <w:r>
        <w:rPr>
          <w:rFonts w:hint="eastAsia" w:cs="Times New Roman"/>
          <w:color w:val="000000"/>
          <w:sz w:val="24"/>
          <w:szCs w:val="24"/>
          <w:u w:val="single"/>
          <w:lang w:val="en-US" w:eastAsia="zh-CN"/>
        </w:rPr>
        <w:t>2</w:t>
      </w:r>
      <w:r>
        <w:rPr>
          <w:rFonts w:hint="default" w:ascii="Times New Roman" w:hAnsi="Times New Roman" w:eastAsia="宋体" w:cs="Times New Roman"/>
          <w:color w:val="000000"/>
          <w:sz w:val="24"/>
          <w:szCs w:val="24"/>
          <w:u w:val="single"/>
        </w:rPr>
        <w:t>月</w:t>
      </w:r>
      <w:r>
        <w:rPr>
          <w:rFonts w:hint="eastAsia" w:cs="Times New Roman"/>
          <w:color w:val="000000"/>
          <w:sz w:val="24"/>
          <w:szCs w:val="24"/>
          <w:u w:val="single"/>
          <w:lang w:val="en-US" w:eastAsia="zh-CN"/>
        </w:rPr>
        <w:t>28</w:t>
      </w:r>
      <w:r>
        <w:rPr>
          <w:rFonts w:hint="default" w:ascii="Times New Roman" w:hAnsi="Times New Roman" w:eastAsia="宋体" w:cs="Times New Roman"/>
          <w:color w:val="000000"/>
          <w:sz w:val="24"/>
          <w:szCs w:val="24"/>
          <w:u w:val="single"/>
        </w:rPr>
        <w:t>日</w:t>
      </w:r>
      <w:r>
        <w:rPr>
          <w:rFonts w:hint="eastAsia" w:cs="Times New Roman"/>
          <w:color w:val="000000"/>
          <w:sz w:val="24"/>
          <w:szCs w:val="24"/>
          <w:u w:val="single"/>
          <w:lang w:val="en-US" w:eastAsia="zh-CN"/>
        </w:rPr>
        <w:t>16</w:t>
      </w:r>
      <w:r>
        <w:rPr>
          <w:rFonts w:hint="default" w:ascii="Times New Roman" w:hAnsi="Times New Roman" w:eastAsia="宋体" w:cs="Times New Roman"/>
          <w:color w:val="000000"/>
          <w:sz w:val="24"/>
          <w:szCs w:val="24"/>
          <w:u w:val="single"/>
        </w:rPr>
        <w:t>：00</w:t>
      </w:r>
      <w:r>
        <w:rPr>
          <w:rFonts w:hint="default" w:ascii="Times New Roman" w:hAnsi="Times New Roman" w:eastAsia="宋体" w:cs="Times New Roman"/>
          <w:color w:val="000000"/>
          <w:sz w:val="24"/>
          <w:szCs w:val="24"/>
        </w:rPr>
        <w:t>之前发送至采购人邮箱：</w:t>
      </w:r>
      <w:r>
        <w:rPr>
          <w:rFonts w:hint="eastAsia" w:cs="Times New Roman"/>
          <w:color w:val="000000"/>
          <w:sz w:val="24"/>
          <w:szCs w:val="24"/>
          <w:lang w:val="en-US" w:eastAsia="zh-CN"/>
        </w:rPr>
        <w:t>gzlhr2@163</w:t>
      </w:r>
      <w:r>
        <w:rPr>
          <w:rFonts w:hint="default" w:ascii="Times New Roman" w:hAnsi="Times New Roman" w:eastAsia="宋体" w:cs="Times New Roman"/>
          <w:snapToGrid w:val="0"/>
          <w:color w:val="000000"/>
          <w:kern w:val="0"/>
          <w:sz w:val="24"/>
          <w:szCs w:val="24"/>
        </w:rPr>
        <w:t>.com，逾期无效。采购人在收到响应回执后根据供应商信用信誉等情况进行讨论提议，不再另行发布采购公告。</w:t>
      </w:r>
    </w:p>
    <w:p>
      <w:pPr>
        <w:numPr>
          <w:ilvl w:val="0"/>
          <w:numId w:val="3"/>
        </w:numPr>
        <w:topLinePunct/>
        <w:spacing w:line="360" w:lineRule="auto"/>
        <w:outlineLvl w:val="1"/>
        <w:rPr>
          <w:rFonts w:hint="default" w:ascii="Times New Roman" w:hAnsi="Times New Roman" w:eastAsia="宋体" w:cs="Times New Roman"/>
          <w:b/>
          <w:snapToGrid w:val="0"/>
          <w:kern w:val="0"/>
          <w:sz w:val="24"/>
          <w:szCs w:val="24"/>
        </w:rPr>
      </w:pPr>
      <w:bookmarkStart w:id="0" w:name="_Toc332965960"/>
      <w:bookmarkStart w:id="1" w:name="_Toc332793818"/>
      <w:bookmarkStart w:id="2" w:name="_Toc332793891"/>
      <w:r>
        <w:rPr>
          <w:rFonts w:hint="default" w:ascii="Times New Roman" w:hAnsi="Times New Roman" w:eastAsia="宋体" w:cs="Times New Roman"/>
          <w:b/>
          <w:snapToGrid w:val="0"/>
          <w:kern w:val="0"/>
          <w:sz w:val="24"/>
          <w:szCs w:val="24"/>
        </w:rPr>
        <w:t>联系方式</w:t>
      </w:r>
      <w:bookmarkEnd w:id="0"/>
      <w:bookmarkEnd w:id="1"/>
      <w:bookmarkEnd w:id="2"/>
    </w:p>
    <w:p>
      <w:pPr>
        <w:topLinePunct/>
        <w:spacing w:line="360" w:lineRule="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采购人：广东诚泰交通科技发展有限公司</w:t>
      </w:r>
    </w:p>
    <w:p>
      <w:pPr>
        <w:topLinePunct/>
        <w:spacing w:line="360" w:lineRule="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采购人地址：广州市番禺区洛浦街道北环路87号道路研究院</w:t>
      </w:r>
      <w:r>
        <w:rPr>
          <w:rFonts w:hint="default" w:ascii="Times New Roman" w:hAnsi="Times New Roman" w:eastAsia="宋体" w:cs="Times New Roman"/>
          <w:color w:val="000000"/>
          <w:sz w:val="24"/>
          <w:szCs w:val="24"/>
          <w:lang w:val="en-US" w:eastAsia="zh-CN"/>
        </w:rPr>
        <w:t>有限公司</w:t>
      </w:r>
      <w:r>
        <w:rPr>
          <w:rFonts w:hint="default" w:ascii="Times New Roman" w:hAnsi="Times New Roman" w:eastAsia="宋体" w:cs="Times New Roman"/>
          <w:color w:val="000000"/>
          <w:sz w:val="24"/>
          <w:szCs w:val="24"/>
        </w:rPr>
        <w:t>二号楼</w:t>
      </w:r>
    </w:p>
    <w:p>
      <w:pPr>
        <w:topLinePunct/>
        <w:spacing w:line="360" w:lineRule="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联  系  人：</w:t>
      </w:r>
      <w:r>
        <w:rPr>
          <w:rFonts w:hint="eastAsia" w:cs="Times New Roman"/>
          <w:color w:val="000000"/>
          <w:sz w:val="24"/>
          <w:szCs w:val="24"/>
          <w:lang w:val="en-US" w:eastAsia="zh-CN"/>
        </w:rPr>
        <w:t>廖</w:t>
      </w:r>
      <w:r>
        <w:rPr>
          <w:rFonts w:hint="default" w:ascii="Times New Roman" w:hAnsi="Times New Roman" w:eastAsia="宋体" w:cs="Times New Roman"/>
          <w:color w:val="000000"/>
          <w:sz w:val="24"/>
          <w:szCs w:val="24"/>
        </w:rPr>
        <w:t>工</w:t>
      </w:r>
    </w:p>
    <w:p>
      <w:pPr>
        <w:topLinePunct/>
        <w:spacing w:line="360" w:lineRule="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电      话：020-39185740</w:t>
      </w:r>
    </w:p>
    <w:p>
      <w:pPr>
        <w:topLinePunct/>
        <w:spacing w:line="360" w:lineRule="auto"/>
        <w:jc w:val="right"/>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广东诚泰交通科技发展有限公司</w:t>
      </w:r>
    </w:p>
    <w:p>
      <w:pPr>
        <w:topLinePunct/>
        <w:spacing w:line="360" w:lineRule="auto"/>
        <w:jc w:val="center"/>
        <w:rPr>
          <w:rFonts w:hint="default" w:ascii="Times New Roman" w:hAnsi="Times New Roman" w:eastAsia="宋体" w:cs="Times New Roman"/>
          <w:sz w:val="24"/>
          <w:szCs w:val="24"/>
        </w:rPr>
      </w:pPr>
      <w:r>
        <w:rPr>
          <w:rFonts w:hint="default" w:ascii="Times New Roman" w:hAnsi="Times New Roman" w:eastAsia="宋体" w:cs="Times New Roman"/>
          <w:color w:val="000000"/>
          <w:sz w:val="24"/>
          <w:szCs w:val="24"/>
        </w:rPr>
        <w:t xml:space="preserve">                                              202</w:t>
      </w:r>
      <w:r>
        <w:rPr>
          <w:rFonts w:hint="eastAsia" w:cs="Times New Roman"/>
          <w:color w:val="000000"/>
          <w:sz w:val="24"/>
          <w:szCs w:val="24"/>
          <w:lang w:val="en-US" w:eastAsia="zh-CN"/>
        </w:rPr>
        <w:t>4</w:t>
      </w:r>
      <w:r>
        <w:rPr>
          <w:rFonts w:hint="default" w:ascii="Times New Roman" w:hAnsi="Times New Roman" w:eastAsia="宋体" w:cs="Times New Roman"/>
          <w:color w:val="000000"/>
          <w:sz w:val="24"/>
          <w:szCs w:val="24"/>
        </w:rPr>
        <w:t>年</w:t>
      </w:r>
      <w:r>
        <w:rPr>
          <w:rFonts w:hint="eastAsia" w:cs="Times New Roman"/>
          <w:color w:val="000000"/>
          <w:sz w:val="24"/>
          <w:szCs w:val="24"/>
          <w:lang w:val="en-US" w:eastAsia="zh-CN"/>
        </w:rPr>
        <w:t>2</w:t>
      </w:r>
      <w:r>
        <w:rPr>
          <w:rFonts w:hint="default" w:ascii="Times New Roman" w:hAnsi="Times New Roman" w:eastAsia="宋体" w:cs="Times New Roman"/>
          <w:color w:val="000000"/>
          <w:sz w:val="24"/>
          <w:szCs w:val="24"/>
        </w:rPr>
        <w:t>月</w:t>
      </w:r>
      <w:r>
        <w:rPr>
          <w:rFonts w:hint="eastAsia" w:cs="Times New Roman"/>
          <w:color w:val="000000"/>
          <w:sz w:val="24"/>
          <w:szCs w:val="24"/>
          <w:lang w:val="en-US" w:eastAsia="zh-CN"/>
        </w:rPr>
        <w:t>26</w:t>
      </w:r>
      <w:r>
        <w:rPr>
          <w:rFonts w:hint="default" w:ascii="Times New Roman" w:hAnsi="Times New Roman" w:eastAsia="宋体" w:cs="Times New Roman"/>
          <w:color w:val="000000"/>
          <w:sz w:val="24"/>
          <w:szCs w:val="24"/>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Book Antiqua">
    <w:altName w:val="Segoe Print"/>
    <w:panose1 w:val="02040602050305030304"/>
    <w:charset w:val="00"/>
    <w:family w:val="roman"/>
    <w:pitch w:val="default"/>
    <w:sig w:usb0="00000000" w:usb1="00000000" w:usb2="00000000" w:usb3="00000000" w:csb0="2000009F" w:csb1="DFD70000"/>
  </w:font>
  <w:font w:name="楷体_GB2312">
    <w:panose1 w:val="02010609030101010101"/>
    <w:charset w:val="86"/>
    <w:family w:val="modern"/>
    <w:pitch w:val="default"/>
    <w:sig w:usb0="00000001" w:usb1="080E0000" w:usb2="00000000" w:usb3="00000000" w:csb0="00040000" w:csb1="00000000"/>
  </w:font>
  <w:font w:name="Segoe Print">
    <w:panose1 w:val="02000600000000000000"/>
    <w:charset w:val="00"/>
    <w:family w:val="auto"/>
    <w:pitch w:val="default"/>
    <w:sig w:usb0="0000028F" w:usb1="00000000" w:usb2="00000000" w:usb3="00000000" w:csb0="2000009F" w:csb1="4701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AEB739B"/>
    <w:multiLevelType w:val="singleLevel"/>
    <w:tmpl w:val="AAEB739B"/>
    <w:lvl w:ilvl="0" w:tentative="0">
      <w:start w:val="1"/>
      <w:numFmt w:val="decimal"/>
      <w:lvlText w:val="%1."/>
      <w:lvlJc w:val="left"/>
      <w:pPr>
        <w:tabs>
          <w:tab w:val="left" w:pos="312"/>
        </w:tabs>
      </w:pPr>
    </w:lvl>
  </w:abstractNum>
  <w:abstractNum w:abstractNumId="1">
    <w:nsid w:val="CEC06D5F"/>
    <w:multiLevelType w:val="singleLevel"/>
    <w:tmpl w:val="CEC06D5F"/>
    <w:lvl w:ilvl="0" w:tentative="0">
      <w:start w:val="1"/>
      <w:numFmt w:val="decimal"/>
      <w:suff w:val="nothing"/>
      <w:lvlText w:val="（%1）"/>
      <w:lvlJc w:val="left"/>
    </w:lvl>
  </w:abstractNum>
  <w:abstractNum w:abstractNumId="2">
    <w:nsid w:val="171657A1"/>
    <w:multiLevelType w:val="multilevel"/>
    <w:tmpl w:val="171657A1"/>
    <w:lvl w:ilvl="0" w:tentative="0">
      <w:start w:val="1"/>
      <w:numFmt w:val="decimal"/>
      <w:suff w:val="nothing"/>
      <w:lvlText w:val="%1 "/>
      <w:lvlJc w:val="left"/>
      <w:pPr>
        <w:ind w:left="0" w:firstLine="0"/>
      </w:pPr>
      <w:rPr>
        <w:rFonts w:hint="default" w:ascii="Book Antiqua" w:hAnsi="Book Antiqua" w:eastAsia="黑体" w:cs="Book Antiqua"/>
        <w:b/>
        <w:bCs/>
        <w:i w:val="0"/>
        <w:iCs w:val="0"/>
        <w:caps w:val="0"/>
        <w:strike w:val="0"/>
        <w:dstrike w:val="0"/>
        <w:vanish w:val="0"/>
        <w:color w:val="000000"/>
        <w:sz w:val="144"/>
        <w:szCs w:val="144"/>
        <w:vertAlign w:val="baseline"/>
      </w:rPr>
    </w:lvl>
    <w:lvl w:ilvl="1" w:tentative="0">
      <w:start w:val="1"/>
      <w:numFmt w:val="decimal"/>
      <w:pStyle w:val="2"/>
      <w:suff w:val="nothing"/>
      <w:lvlText w:val="%1.%2 "/>
      <w:lvlJc w:val="left"/>
      <w:pPr>
        <w:ind w:left="0" w:firstLine="0"/>
      </w:pPr>
      <w:rPr>
        <w:rFonts w:hint="default" w:ascii="Book Antiqua" w:hAnsi="Book Antiqua" w:eastAsia="黑体" w:cs="Book Antiqua"/>
        <w:b w:val="0"/>
        <w:bCs/>
        <w:i w:val="0"/>
        <w:iCs w:val="0"/>
        <w:caps w:val="0"/>
        <w:strike w:val="0"/>
        <w:dstrike w:val="0"/>
        <w:snapToGrid w:val="0"/>
        <w:vanish w:val="0"/>
        <w:color w:val="000000"/>
        <w:spacing w:val="0"/>
        <w:kern w:val="0"/>
        <w:sz w:val="36"/>
        <w:szCs w:val="36"/>
        <w:vertAlign w:val="baseline"/>
      </w:rPr>
    </w:lvl>
    <w:lvl w:ilvl="2" w:tentative="0">
      <w:start w:val="1"/>
      <w:numFmt w:val="decimal"/>
      <w:pStyle w:val="3"/>
      <w:suff w:val="nothing"/>
      <w:lvlText w:val="%1.%2.%3 "/>
      <w:lvlJc w:val="left"/>
      <w:pPr>
        <w:ind w:left="142" w:firstLine="0"/>
      </w:pPr>
    </w:lvl>
    <w:lvl w:ilvl="3" w:tentative="0">
      <w:start w:val="1"/>
      <w:numFmt w:val="decimal"/>
      <w:lvlRestart w:val="1"/>
      <w:pStyle w:val="4"/>
      <w:suff w:val="nothing"/>
      <w:lvlText w:val="%1.%2.%3.%4 "/>
      <w:lvlJc w:val="left"/>
      <w:pPr>
        <w:ind w:left="0" w:firstLine="0"/>
      </w:pPr>
      <w:rPr>
        <w:rFonts w:hint="default" w:ascii="Book Antiqua" w:hAnsi="Book Antiqua" w:eastAsia="黑体" w:cs="Book Antiqua"/>
        <w:bCs/>
        <w:i w:val="0"/>
        <w:iCs w:val="0"/>
        <w:caps w:val="0"/>
        <w:strike w:val="0"/>
        <w:dstrike w:val="0"/>
        <w:vanish w:val="0"/>
        <w:color w:val="000000"/>
        <w:sz w:val="28"/>
        <w:szCs w:val="28"/>
        <w:vertAlign w:val="baseline"/>
      </w:rPr>
    </w:lvl>
    <w:lvl w:ilvl="4" w:tentative="0">
      <w:start w:val="1"/>
      <w:numFmt w:val="decimal"/>
      <w:lvlRestart w:val="1"/>
      <w:pStyle w:val="5"/>
      <w:suff w:val="nothing"/>
      <w:lvlText w:val="%1.%2.%3.%4.%5 "/>
      <w:lvlJc w:val="left"/>
      <w:pPr>
        <w:ind w:left="0" w:firstLine="0"/>
      </w:pPr>
      <w:rPr>
        <w:rFonts w:hint="default" w:ascii="Book Antiqua" w:hAnsi="Book Antiqua" w:eastAsia="黑体" w:cs="Book Antiqua"/>
        <w:bCs/>
        <w:i w:val="0"/>
        <w:iCs w:val="0"/>
        <w:caps w:val="0"/>
        <w:strike w:val="0"/>
        <w:dstrike w:val="0"/>
        <w:vanish w:val="0"/>
        <w:color w:val="000000"/>
        <w:sz w:val="24"/>
        <w:szCs w:val="24"/>
        <w:vertAlign w:val="baseline"/>
      </w:rPr>
    </w:lvl>
    <w:lvl w:ilvl="5" w:tentative="0">
      <w:start w:val="1"/>
      <w:numFmt w:val="none"/>
      <w:pStyle w:val="25"/>
      <w:suff w:val="nothing"/>
      <w:lvlText w:val=""/>
      <w:lvlJc w:val="left"/>
      <w:pPr>
        <w:ind w:left="0" w:firstLine="0"/>
      </w:pPr>
      <w:rPr>
        <w:rFonts w:hint="default" w:ascii="Arial" w:hAnsi="Arial" w:cs="Arial"/>
        <w:b/>
        <w:bCs/>
        <w:i w:val="0"/>
        <w:iCs w:val="0"/>
        <w:caps w:val="0"/>
        <w:strike w:val="0"/>
        <w:dstrike w:val="0"/>
        <w:vanish w:val="0"/>
        <w:color w:val="000000"/>
        <w:sz w:val="20"/>
        <w:szCs w:val="20"/>
        <w:vertAlign w:val="baseline"/>
      </w:rPr>
    </w:lvl>
    <w:lvl w:ilvl="6" w:tentative="0">
      <w:start w:val="1"/>
      <w:numFmt w:val="decimal"/>
      <w:pStyle w:val="29"/>
      <w:lvlText w:val="步骤 %7"/>
      <w:lvlJc w:val="right"/>
      <w:pPr>
        <w:tabs>
          <w:tab w:val="left" w:pos="1701"/>
        </w:tabs>
        <w:ind w:left="1701" w:hanging="159"/>
      </w:pPr>
      <w:rPr>
        <w:rFonts w:hint="default" w:ascii="Book Antiqua" w:hAnsi="Book Antiqua" w:eastAsia="黑体" w:cs="Times New Roman"/>
        <w:b w:val="0"/>
        <w:bCs/>
        <w:i w:val="0"/>
        <w:iCs w:val="0"/>
        <w:color w:val="auto"/>
        <w:sz w:val="21"/>
        <w:szCs w:val="21"/>
      </w:rPr>
    </w:lvl>
    <w:lvl w:ilvl="7" w:tentative="0">
      <w:start w:val="1"/>
      <w:numFmt w:val="decimal"/>
      <w:lvlRestart w:val="1"/>
      <w:pStyle w:val="35"/>
      <w:suff w:val="space"/>
      <w:lvlText w:val="图%1-%8"/>
      <w:lvlJc w:val="left"/>
      <w:pPr>
        <w:ind w:left="1701" w:firstLine="0"/>
      </w:pPr>
      <w:rPr>
        <w:rFonts w:hint="default" w:ascii="Times New Roman" w:hAnsi="Times New Roman" w:eastAsia="黑体" w:cs="Book Antiqua"/>
        <w:b w:val="0"/>
        <w:bCs/>
        <w:i w:val="0"/>
        <w:iCs w:val="0"/>
        <w:strike w:val="0"/>
        <w:dstrike w:val="0"/>
        <w:color w:val="000000"/>
        <w:sz w:val="21"/>
        <w:szCs w:val="21"/>
        <w:vertAlign w:val="baseline"/>
      </w:rPr>
    </w:lvl>
    <w:lvl w:ilvl="8" w:tentative="0">
      <w:start w:val="1"/>
      <w:numFmt w:val="decimal"/>
      <w:lvlRestart w:val="1"/>
      <w:pStyle w:val="26"/>
      <w:suff w:val="space"/>
      <w:lvlText w:val="表%1-%9"/>
      <w:lvlJc w:val="left"/>
      <w:pPr>
        <w:ind w:left="1701" w:firstLine="0"/>
      </w:pPr>
      <w:rPr>
        <w:rFonts w:hint="default" w:ascii="Times New Roman" w:hAnsi="Times New Roman" w:eastAsia="黑体"/>
        <w:b w:val="0"/>
        <w:bCs/>
        <w:i w:val="0"/>
        <w:iCs w:val="0"/>
        <w:color w:val="auto"/>
        <w:sz w:val="21"/>
        <w:szCs w:val="21"/>
      </w:rPr>
    </w:lvl>
  </w:abstractNum>
  <w:abstractNum w:abstractNumId="3">
    <w:nsid w:val="6E230785"/>
    <w:multiLevelType w:val="multilevel"/>
    <w:tmpl w:val="6E230785"/>
    <w:lvl w:ilvl="0" w:tentative="0">
      <w:start w:val="1"/>
      <w:numFmt w:val="bullet"/>
      <w:pStyle w:val="34"/>
      <w:lvlText w:val=""/>
      <w:lvlJc w:val="left"/>
      <w:pPr>
        <w:tabs>
          <w:tab w:val="left" w:pos="170"/>
        </w:tabs>
        <w:ind w:left="170" w:hanging="170"/>
      </w:pPr>
      <w:rPr>
        <w:rFonts w:hint="default" w:ascii="Wingdings" w:hAnsi="Wingdings" w:eastAsia="宋体"/>
        <w:b w:val="0"/>
        <w:i w:val="0"/>
        <w:color w:val="auto"/>
        <w:position w:val="3"/>
        <w:sz w:val="13"/>
        <w:szCs w:val="13"/>
      </w:rPr>
    </w:lvl>
    <w:lvl w:ilvl="1" w:tentative="0">
      <w:start w:val="1"/>
      <w:numFmt w:val="lowerLetter"/>
      <w:pStyle w:val="31"/>
      <w:lvlText w:val="%2."/>
      <w:lvlJc w:val="left"/>
      <w:pPr>
        <w:tabs>
          <w:tab w:val="left" w:pos="284"/>
        </w:tabs>
        <w:ind w:left="568" w:hanging="284"/>
      </w:pPr>
      <w:rPr>
        <w:rFonts w:hint="default" w:ascii="Times New Roman" w:hAnsi="Times New Roman" w:cs="Book Antiqua"/>
        <w:b w:val="0"/>
        <w:bCs/>
        <w:i w:val="0"/>
        <w:iCs w:val="0"/>
        <w:sz w:val="21"/>
        <w:szCs w:val="21"/>
        <w:u w:val="none"/>
      </w:rPr>
    </w:lvl>
    <w:lvl w:ilvl="2" w:tentative="0">
      <w:start w:val="1"/>
      <w:numFmt w:val="bullet"/>
      <w:pStyle w:val="32"/>
      <w:lvlText w:val="−"/>
      <w:lvlJc w:val="left"/>
      <w:pPr>
        <w:tabs>
          <w:tab w:val="left" w:pos="568"/>
        </w:tabs>
        <w:ind w:left="568" w:hanging="284"/>
      </w:pPr>
      <w:rPr>
        <w:rFonts w:hint="default" w:ascii="Times New Roman" w:hAnsi="Times New Roman" w:cs="Times New Roman"/>
        <w:sz w:val="16"/>
        <w:szCs w:val="16"/>
      </w:rPr>
    </w:lvl>
    <w:lvl w:ilvl="3" w:tentative="0">
      <w:start w:val="1"/>
      <w:numFmt w:val="decimal"/>
      <w:pStyle w:val="33"/>
      <w:lvlText w:val="%4."/>
      <w:lvlJc w:val="left"/>
      <w:pPr>
        <w:tabs>
          <w:tab w:val="left" w:pos="284"/>
        </w:tabs>
        <w:ind w:left="568" w:hanging="284"/>
      </w:pPr>
      <w:rPr>
        <w:rFonts w:hint="default" w:ascii="Times New Roman" w:hAnsi="Times New Roman" w:cs="Book Antiqua"/>
        <w:b w:val="0"/>
        <w:bCs/>
        <w:i w:val="0"/>
        <w:iCs w:val="0"/>
        <w:sz w:val="21"/>
        <w:szCs w:val="21"/>
        <w:u w:val="none"/>
      </w:rPr>
    </w:lvl>
    <w:lvl w:ilvl="4" w:tentative="0">
      <w:start w:val="1"/>
      <w:numFmt w:val="bullet"/>
      <w:pStyle w:val="38"/>
      <w:lvlText w:val=""/>
      <w:lvlJc w:val="left"/>
      <w:pPr>
        <w:tabs>
          <w:tab w:val="left" w:pos="568"/>
        </w:tabs>
        <w:ind w:left="568" w:hanging="284"/>
      </w:pPr>
      <w:rPr>
        <w:rFonts w:hint="default" w:ascii="Wingdings" w:hAnsi="Wingdings" w:eastAsia="宋体"/>
        <w:b w:val="0"/>
        <w:i w:val="0"/>
        <w:color w:val="auto"/>
        <w:position w:val="3"/>
        <w:sz w:val="13"/>
        <w:szCs w:val="13"/>
      </w:rPr>
    </w:lvl>
    <w:lvl w:ilvl="5" w:tentative="0">
      <w:start w:val="1"/>
      <w:numFmt w:val="decimal"/>
      <w:pStyle w:val="30"/>
      <w:lvlText w:val="%6."/>
      <w:lvlJc w:val="left"/>
      <w:pPr>
        <w:tabs>
          <w:tab w:val="left" w:pos="1985"/>
        </w:tabs>
        <w:ind w:left="1985" w:hanging="284"/>
      </w:pPr>
      <w:rPr>
        <w:rFonts w:hint="default" w:ascii="Times New Roman" w:hAnsi="Times New Roman" w:cs="Book Antiqua"/>
        <w:color w:val="auto"/>
        <w:spacing w:val="0"/>
        <w:w w:val="100"/>
        <w:position w:val="1"/>
        <w:sz w:val="21"/>
        <w:szCs w:val="21"/>
      </w:rPr>
    </w:lvl>
    <w:lvl w:ilvl="6" w:tentative="0">
      <w:start w:val="1"/>
      <w:numFmt w:val="decimal"/>
      <w:pStyle w:val="36"/>
      <w:lvlText w:val="%7."/>
      <w:lvlJc w:val="left"/>
      <w:pPr>
        <w:tabs>
          <w:tab w:val="left" w:pos="2359"/>
        </w:tabs>
        <w:ind w:left="2359" w:hanging="284"/>
      </w:pPr>
      <w:rPr>
        <w:rFonts w:hint="default" w:ascii="Times New Roman" w:hAnsi="Times New Roman" w:cs="Book Antiqua"/>
        <w:color w:val="auto"/>
        <w:spacing w:val="0"/>
        <w:w w:val="100"/>
        <w:position w:val="1"/>
        <w:sz w:val="18"/>
        <w:szCs w:val="18"/>
      </w:rPr>
    </w:lvl>
    <w:lvl w:ilvl="7" w:tentative="0">
      <w:start w:val="1"/>
      <w:numFmt w:val="decimal"/>
      <w:pStyle w:val="37"/>
      <w:lvlText w:val="%8."/>
      <w:lvlJc w:val="left"/>
      <w:pPr>
        <w:tabs>
          <w:tab w:val="left" w:pos="454"/>
        </w:tabs>
        <w:ind w:left="454" w:hanging="284"/>
      </w:pPr>
      <w:rPr>
        <w:rFonts w:hint="default" w:ascii="Times New Roman" w:hAnsi="Times New Roman" w:cs="Book Antiqua"/>
        <w:color w:val="auto"/>
        <w:spacing w:val="0"/>
        <w:w w:val="100"/>
        <w:position w:val="1"/>
        <w:sz w:val="18"/>
        <w:szCs w:val="18"/>
      </w:rPr>
    </w:lvl>
    <w:lvl w:ilvl="8" w:tentative="0">
      <w:start w:val="1"/>
      <w:numFmt w:val="bullet"/>
      <w:lvlText w:val=""/>
      <w:lvlJc w:val="left"/>
      <w:pPr>
        <w:tabs>
          <w:tab w:val="left" w:pos="3780"/>
        </w:tabs>
        <w:ind w:left="3780" w:hanging="420"/>
      </w:pPr>
      <w:rPr>
        <w:rFonts w:hint="default" w:ascii="Wingdings" w:hAnsi="Wingdings"/>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NzlmZWYwYjZjYWZmZmQxZjk0MGVkZjNjMjcxOTA3ZjgifQ=="/>
  </w:docVars>
  <w:rsids>
    <w:rsidRoot w:val="00172A27"/>
    <w:rsid w:val="00123FE3"/>
    <w:rsid w:val="001301C5"/>
    <w:rsid w:val="00172A27"/>
    <w:rsid w:val="00477707"/>
    <w:rsid w:val="005603E4"/>
    <w:rsid w:val="00791D96"/>
    <w:rsid w:val="009A3C9A"/>
    <w:rsid w:val="00C424AD"/>
    <w:rsid w:val="00CC1A2E"/>
    <w:rsid w:val="00ED32E4"/>
    <w:rsid w:val="00EE2011"/>
    <w:rsid w:val="00FA736A"/>
    <w:rsid w:val="00FC4153"/>
    <w:rsid w:val="00FD7ED5"/>
    <w:rsid w:val="012D66CB"/>
    <w:rsid w:val="014D3BDD"/>
    <w:rsid w:val="02040FDF"/>
    <w:rsid w:val="02083795"/>
    <w:rsid w:val="02BE3126"/>
    <w:rsid w:val="02E72D8C"/>
    <w:rsid w:val="03393105"/>
    <w:rsid w:val="046B1D8B"/>
    <w:rsid w:val="046E3765"/>
    <w:rsid w:val="05FC2DA4"/>
    <w:rsid w:val="06622CB2"/>
    <w:rsid w:val="06A411DD"/>
    <w:rsid w:val="072D08E0"/>
    <w:rsid w:val="083A6841"/>
    <w:rsid w:val="08EE3671"/>
    <w:rsid w:val="09293C1C"/>
    <w:rsid w:val="092A167C"/>
    <w:rsid w:val="09DA7BE1"/>
    <w:rsid w:val="0A310FDA"/>
    <w:rsid w:val="0A533E8A"/>
    <w:rsid w:val="0A634ED8"/>
    <w:rsid w:val="0A69025B"/>
    <w:rsid w:val="0AB539B9"/>
    <w:rsid w:val="0B867103"/>
    <w:rsid w:val="0C397098"/>
    <w:rsid w:val="0DA26991"/>
    <w:rsid w:val="0ECB4993"/>
    <w:rsid w:val="112A7044"/>
    <w:rsid w:val="123D1FC9"/>
    <w:rsid w:val="12ED5CBA"/>
    <w:rsid w:val="137843E9"/>
    <w:rsid w:val="13AA7D91"/>
    <w:rsid w:val="140B63F8"/>
    <w:rsid w:val="14C447F8"/>
    <w:rsid w:val="156452D7"/>
    <w:rsid w:val="17471A1A"/>
    <w:rsid w:val="176F6C9D"/>
    <w:rsid w:val="17936E30"/>
    <w:rsid w:val="18594186"/>
    <w:rsid w:val="18606150"/>
    <w:rsid w:val="19B32EC3"/>
    <w:rsid w:val="1A071A40"/>
    <w:rsid w:val="1A786886"/>
    <w:rsid w:val="1CC7757C"/>
    <w:rsid w:val="1D5379E4"/>
    <w:rsid w:val="1DC008E5"/>
    <w:rsid w:val="1DD86320"/>
    <w:rsid w:val="1EFF5193"/>
    <w:rsid w:val="1F3E25C9"/>
    <w:rsid w:val="1F8905C9"/>
    <w:rsid w:val="1F9A0F77"/>
    <w:rsid w:val="1FEF3071"/>
    <w:rsid w:val="20205D7D"/>
    <w:rsid w:val="2031368A"/>
    <w:rsid w:val="2039362C"/>
    <w:rsid w:val="217E1CFE"/>
    <w:rsid w:val="21C71F72"/>
    <w:rsid w:val="24875F4B"/>
    <w:rsid w:val="25D6438C"/>
    <w:rsid w:val="25E92311"/>
    <w:rsid w:val="26445799"/>
    <w:rsid w:val="28126A09"/>
    <w:rsid w:val="29B42C36"/>
    <w:rsid w:val="2A6117E0"/>
    <w:rsid w:val="2A8940C2"/>
    <w:rsid w:val="2A9C2048"/>
    <w:rsid w:val="2B975488"/>
    <w:rsid w:val="2BB05A29"/>
    <w:rsid w:val="2BBE1469"/>
    <w:rsid w:val="2BCA739A"/>
    <w:rsid w:val="2D393A69"/>
    <w:rsid w:val="2E0860D1"/>
    <w:rsid w:val="2E402CEA"/>
    <w:rsid w:val="2E5A20BA"/>
    <w:rsid w:val="2ECB5FE2"/>
    <w:rsid w:val="31DD3999"/>
    <w:rsid w:val="31F44517"/>
    <w:rsid w:val="325C5786"/>
    <w:rsid w:val="332F39B8"/>
    <w:rsid w:val="337322A8"/>
    <w:rsid w:val="33D53A32"/>
    <w:rsid w:val="34403FA4"/>
    <w:rsid w:val="34DB5F68"/>
    <w:rsid w:val="35912415"/>
    <w:rsid w:val="370343E8"/>
    <w:rsid w:val="371778DF"/>
    <w:rsid w:val="37E62326"/>
    <w:rsid w:val="37FC65A3"/>
    <w:rsid w:val="38A511DA"/>
    <w:rsid w:val="3A1B67E7"/>
    <w:rsid w:val="3A7D6982"/>
    <w:rsid w:val="3B7C02FD"/>
    <w:rsid w:val="3C047712"/>
    <w:rsid w:val="3CCC5DA0"/>
    <w:rsid w:val="3CD77495"/>
    <w:rsid w:val="3D4445A5"/>
    <w:rsid w:val="3DC27043"/>
    <w:rsid w:val="3DD1395F"/>
    <w:rsid w:val="3E8C010F"/>
    <w:rsid w:val="3EFD65C9"/>
    <w:rsid w:val="3F1831BA"/>
    <w:rsid w:val="400E2C48"/>
    <w:rsid w:val="403A795B"/>
    <w:rsid w:val="4044389B"/>
    <w:rsid w:val="40C03B09"/>
    <w:rsid w:val="40D5510D"/>
    <w:rsid w:val="42100EF9"/>
    <w:rsid w:val="42925DB2"/>
    <w:rsid w:val="42D40179"/>
    <w:rsid w:val="434B112E"/>
    <w:rsid w:val="443D1A3B"/>
    <w:rsid w:val="4504286C"/>
    <w:rsid w:val="46C97C03"/>
    <w:rsid w:val="471A188F"/>
    <w:rsid w:val="472B5FAC"/>
    <w:rsid w:val="483F34F7"/>
    <w:rsid w:val="48AD79E8"/>
    <w:rsid w:val="48F03340"/>
    <w:rsid w:val="4908486B"/>
    <w:rsid w:val="49B06B1E"/>
    <w:rsid w:val="49DC5C4D"/>
    <w:rsid w:val="4A44006F"/>
    <w:rsid w:val="4B3450B1"/>
    <w:rsid w:val="4BAE4378"/>
    <w:rsid w:val="4BFB311F"/>
    <w:rsid w:val="4DA31AFF"/>
    <w:rsid w:val="4DB34E2F"/>
    <w:rsid w:val="4FA7135F"/>
    <w:rsid w:val="50DE6FEF"/>
    <w:rsid w:val="513444D8"/>
    <w:rsid w:val="515756D7"/>
    <w:rsid w:val="52871060"/>
    <w:rsid w:val="52ED4007"/>
    <w:rsid w:val="54210D44"/>
    <w:rsid w:val="54227B28"/>
    <w:rsid w:val="55A27C63"/>
    <w:rsid w:val="55A710AE"/>
    <w:rsid w:val="560F1B9D"/>
    <w:rsid w:val="57BF2D4E"/>
    <w:rsid w:val="58B74CBC"/>
    <w:rsid w:val="59671403"/>
    <w:rsid w:val="598A3C77"/>
    <w:rsid w:val="5B0418D0"/>
    <w:rsid w:val="5B2814D9"/>
    <w:rsid w:val="5D4D1D73"/>
    <w:rsid w:val="5D972077"/>
    <w:rsid w:val="5E8E770E"/>
    <w:rsid w:val="623B7383"/>
    <w:rsid w:val="63166D1A"/>
    <w:rsid w:val="65922BE0"/>
    <w:rsid w:val="65CF770C"/>
    <w:rsid w:val="680622D3"/>
    <w:rsid w:val="6AB242D2"/>
    <w:rsid w:val="6AC87D14"/>
    <w:rsid w:val="6AF27A26"/>
    <w:rsid w:val="6B2D401B"/>
    <w:rsid w:val="6B557E6C"/>
    <w:rsid w:val="6B686E01"/>
    <w:rsid w:val="6C083654"/>
    <w:rsid w:val="6C094604"/>
    <w:rsid w:val="6C751B3B"/>
    <w:rsid w:val="6CD10672"/>
    <w:rsid w:val="6DC37643"/>
    <w:rsid w:val="6E182D60"/>
    <w:rsid w:val="6E354925"/>
    <w:rsid w:val="6E4A295F"/>
    <w:rsid w:val="6EAE5472"/>
    <w:rsid w:val="6ED924EF"/>
    <w:rsid w:val="6FE03650"/>
    <w:rsid w:val="70926DFA"/>
    <w:rsid w:val="710B2708"/>
    <w:rsid w:val="724471CD"/>
    <w:rsid w:val="734653CB"/>
    <w:rsid w:val="74963E13"/>
    <w:rsid w:val="75292AD1"/>
    <w:rsid w:val="7553467E"/>
    <w:rsid w:val="760D37CC"/>
    <w:rsid w:val="79870010"/>
    <w:rsid w:val="79DD01FB"/>
    <w:rsid w:val="79E2018B"/>
    <w:rsid w:val="7C7F737F"/>
    <w:rsid w:val="7CF20C20"/>
    <w:rsid w:val="7DD345AE"/>
    <w:rsid w:val="7E921C8E"/>
    <w:rsid w:val="7F263D7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3"/>
    <w:link w:val="17"/>
    <w:autoRedefine/>
    <w:qFormat/>
    <w:uiPriority w:val="0"/>
    <w:pPr>
      <w:keepNext/>
      <w:keepLines/>
      <w:widowControl/>
      <w:numPr>
        <w:ilvl w:val="1"/>
        <w:numId w:val="1"/>
      </w:numPr>
      <w:topLinePunct/>
      <w:adjustRightInd w:val="0"/>
      <w:snapToGrid w:val="0"/>
      <w:spacing w:before="600" w:after="160" w:line="240" w:lineRule="atLeast"/>
      <w:jc w:val="left"/>
      <w:outlineLvl w:val="1"/>
    </w:pPr>
    <w:rPr>
      <w:rFonts w:hint="eastAsia" w:ascii="Book Antiqua" w:hAnsi="Book Antiqua" w:eastAsia="黑体" w:cs="Book Antiqua"/>
      <w:bCs/>
      <w:kern w:val="0"/>
      <w:sz w:val="36"/>
      <w:szCs w:val="36"/>
      <w:lang w:eastAsia="en-US"/>
    </w:rPr>
  </w:style>
  <w:style w:type="paragraph" w:styleId="3">
    <w:name w:val="heading 3"/>
    <w:basedOn w:val="1"/>
    <w:next w:val="1"/>
    <w:link w:val="18"/>
    <w:autoRedefine/>
    <w:qFormat/>
    <w:uiPriority w:val="0"/>
    <w:pPr>
      <w:keepNext/>
      <w:keepLines/>
      <w:widowControl/>
      <w:numPr>
        <w:ilvl w:val="2"/>
        <w:numId w:val="1"/>
      </w:numPr>
      <w:topLinePunct/>
      <w:adjustRightInd w:val="0"/>
      <w:snapToGrid w:val="0"/>
      <w:spacing w:before="200" w:after="160" w:line="240" w:lineRule="atLeast"/>
      <w:jc w:val="left"/>
      <w:outlineLvl w:val="2"/>
    </w:pPr>
    <w:rPr>
      <w:rFonts w:hint="eastAsia" w:ascii="Book Antiqua" w:hAnsi="Book Antiqua" w:eastAsia="黑体" w:cs="宋体"/>
      <w:kern w:val="0"/>
      <w:sz w:val="32"/>
      <w:szCs w:val="32"/>
    </w:rPr>
  </w:style>
  <w:style w:type="paragraph" w:styleId="4">
    <w:name w:val="heading 4"/>
    <w:basedOn w:val="1"/>
    <w:next w:val="1"/>
    <w:link w:val="19"/>
    <w:autoRedefine/>
    <w:qFormat/>
    <w:uiPriority w:val="0"/>
    <w:pPr>
      <w:keepNext/>
      <w:keepLines/>
      <w:widowControl/>
      <w:numPr>
        <w:ilvl w:val="3"/>
        <w:numId w:val="1"/>
      </w:numPr>
      <w:topLinePunct/>
      <w:adjustRightInd w:val="0"/>
      <w:snapToGrid w:val="0"/>
      <w:spacing w:before="160" w:after="160" w:line="240" w:lineRule="atLeast"/>
      <w:jc w:val="left"/>
      <w:outlineLvl w:val="3"/>
    </w:pPr>
    <w:rPr>
      <w:rFonts w:hint="eastAsia" w:ascii="Book Antiqua" w:hAnsi="Book Antiqua" w:eastAsia="黑体" w:cs="宋体"/>
      <w:kern w:val="0"/>
      <w:sz w:val="28"/>
      <w:szCs w:val="28"/>
    </w:rPr>
  </w:style>
  <w:style w:type="paragraph" w:styleId="5">
    <w:name w:val="heading 5"/>
    <w:basedOn w:val="1"/>
    <w:next w:val="1"/>
    <w:link w:val="20"/>
    <w:autoRedefine/>
    <w:qFormat/>
    <w:uiPriority w:val="0"/>
    <w:pPr>
      <w:keepNext/>
      <w:keepLines/>
      <w:widowControl/>
      <w:numPr>
        <w:ilvl w:val="4"/>
        <w:numId w:val="1"/>
      </w:numPr>
      <w:topLinePunct/>
      <w:adjustRightInd w:val="0"/>
      <w:snapToGrid w:val="0"/>
      <w:spacing w:before="160" w:after="160" w:line="240" w:lineRule="atLeast"/>
      <w:jc w:val="left"/>
      <w:outlineLvl w:val="4"/>
    </w:pPr>
    <w:rPr>
      <w:rFonts w:hint="eastAsia" w:ascii="Book Antiqua" w:hAnsi="Book Antiqua" w:eastAsia="黑体" w:cs="宋体"/>
      <w:kern w:val="0"/>
      <w:sz w:val="24"/>
    </w:rPr>
  </w:style>
  <w:style w:type="character" w:default="1" w:styleId="14">
    <w:name w:val="Default Paragraph Font"/>
    <w:autoRedefine/>
    <w:semiHidden/>
    <w:unhideWhenUsed/>
    <w:qFormat/>
    <w:uiPriority w:val="1"/>
  </w:style>
  <w:style w:type="table" w:default="1" w:styleId="13">
    <w:name w:val="Normal Table"/>
    <w:autoRedefine/>
    <w:semiHidden/>
    <w:unhideWhenUsed/>
    <w:qFormat/>
    <w:uiPriority w:val="99"/>
    <w:tblPr>
      <w:tblCellMar>
        <w:top w:w="0" w:type="dxa"/>
        <w:left w:w="108" w:type="dxa"/>
        <w:bottom w:w="0" w:type="dxa"/>
        <w:right w:w="108" w:type="dxa"/>
      </w:tblCellMar>
    </w:tblPr>
  </w:style>
  <w:style w:type="paragraph" w:styleId="6">
    <w:name w:val="Normal Indent"/>
    <w:basedOn w:val="1"/>
    <w:autoRedefine/>
    <w:qFormat/>
    <w:uiPriority w:val="99"/>
    <w:pPr>
      <w:ind w:firstLine="420" w:firstLineChars="200"/>
    </w:pPr>
  </w:style>
  <w:style w:type="paragraph" w:styleId="7">
    <w:name w:val="Body Text Indent"/>
    <w:basedOn w:val="1"/>
    <w:autoRedefine/>
    <w:qFormat/>
    <w:uiPriority w:val="0"/>
    <w:pPr>
      <w:spacing w:after="120"/>
      <w:ind w:left="420" w:leftChars="200"/>
    </w:pPr>
    <w:rPr>
      <w:lang w:val="zh-CN"/>
    </w:rPr>
  </w:style>
  <w:style w:type="paragraph" w:styleId="8">
    <w:name w:val="Plain Text"/>
    <w:basedOn w:val="1"/>
    <w:next w:val="1"/>
    <w:autoRedefine/>
    <w:qFormat/>
    <w:uiPriority w:val="0"/>
    <w:rPr>
      <w:rFonts w:ascii="宋体" w:hAnsi="Courier New"/>
      <w:szCs w:val="20"/>
    </w:rPr>
  </w:style>
  <w:style w:type="paragraph" w:styleId="9">
    <w:name w:val="Balloon Text"/>
    <w:basedOn w:val="1"/>
    <w:link w:val="39"/>
    <w:autoRedefine/>
    <w:qFormat/>
    <w:uiPriority w:val="0"/>
    <w:rPr>
      <w:sz w:val="18"/>
      <w:szCs w:val="18"/>
    </w:rPr>
  </w:style>
  <w:style w:type="paragraph" w:styleId="10">
    <w:name w:val="footer"/>
    <w:basedOn w:val="1"/>
    <w:link w:val="16"/>
    <w:autoRedefine/>
    <w:qFormat/>
    <w:uiPriority w:val="0"/>
    <w:pPr>
      <w:tabs>
        <w:tab w:val="center" w:pos="4153"/>
        <w:tab w:val="right" w:pos="8306"/>
      </w:tabs>
      <w:snapToGrid w:val="0"/>
      <w:jc w:val="left"/>
    </w:pPr>
    <w:rPr>
      <w:sz w:val="18"/>
      <w:szCs w:val="18"/>
    </w:rPr>
  </w:style>
  <w:style w:type="paragraph" w:styleId="11">
    <w:name w:val="header"/>
    <w:basedOn w:val="1"/>
    <w:link w:val="15"/>
    <w:autoRedefine/>
    <w:qFormat/>
    <w:uiPriority w:val="0"/>
    <w:pPr>
      <w:pBdr>
        <w:bottom w:val="single" w:color="auto" w:sz="6" w:space="1"/>
      </w:pBdr>
      <w:tabs>
        <w:tab w:val="center" w:pos="4153"/>
        <w:tab w:val="right" w:pos="8306"/>
      </w:tabs>
      <w:snapToGrid w:val="0"/>
      <w:jc w:val="center"/>
    </w:pPr>
    <w:rPr>
      <w:sz w:val="18"/>
      <w:szCs w:val="18"/>
    </w:rPr>
  </w:style>
  <w:style w:type="paragraph" w:styleId="12">
    <w:name w:val="Body Text First Indent 2"/>
    <w:basedOn w:val="7"/>
    <w:autoRedefine/>
    <w:unhideWhenUsed/>
    <w:qFormat/>
    <w:uiPriority w:val="99"/>
    <w:pPr>
      <w:widowControl w:val="0"/>
      <w:snapToGrid/>
      <w:spacing w:after="120" w:line="240" w:lineRule="auto"/>
      <w:ind w:left="420" w:leftChars="200" w:firstLine="420" w:firstLineChars="200"/>
    </w:pPr>
    <w:rPr>
      <w:rFonts w:asciiTheme="minorHAnsi" w:hAnsiTheme="minorHAnsi" w:eastAsiaTheme="minorEastAsia"/>
      <w:spacing w:val="0"/>
      <w:sz w:val="21"/>
      <w:szCs w:val="24"/>
    </w:rPr>
  </w:style>
  <w:style w:type="character" w:customStyle="1" w:styleId="15">
    <w:name w:val="页眉 Char"/>
    <w:basedOn w:val="14"/>
    <w:link w:val="11"/>
    <w:autoRedefine/>
    <w:qFormat/>
    <w:uiPriority w:val="0"/>
    <w:rPr>
      <w:kern w:val="2"/>
      <w:sz w:val="18"/>
      <w:szCs w:val="18"/>
    </w:rPr>
  </w:style>
  <w:style w:type="character" w:customStyle="1" w:styleId="16">
    <w:name w:val="页脚 Char"/>
    <w:basedOn w:val="14"/>
    <w:link w:val="10"/>
    <w:autoRedefine/>
    <w:qFormat/>
    <w:uiPriority w:val="0"/>
    <w:rPr>
      <w:kern w:val="2"/>
      <w:sz w:val="18"/>
      <w:szCs w:val="18"/>
    </w:rPr>
  </w:style>
  <w:style w:type="character" w:customStyle="1" w:styleId="17">
    <w:name w:val="标题 2 Char"/>
    <w:basedOn w:val="14"/>
    <w:link w:val="2"/>
    <w:autoRedefine/>
    <w:qFormat/>
    <w:uiPriority w:val="0"/>
    <w:rPr>
      <w:rFonts w:ascii="Book Antiqua" w:hAnsi="Book Antiqua" w:eastAsia="黑体" w:cs="Book Antiqua"/>
      <w:bCs/>
      <w:sz w:val="36"/>
      <w:szCs w:val="36"/>
      <w:lang w:eastAsia="en-US"/>
    </w:rPr>
  </w:style>
  <w:style w:type="character" w:customStyle="1" w:styleId="18">
    <w:name w:val="标题 3 Char"/>
    <w:basedOn w:val="14"/>
    <w:link w:val="3"/>
    <w:autoRedefine/>
    <w:qFormat/>
    <w:uiPriority w:val="0"/>
    <w:rPr>
      <w:rFonts w:ascii="Book Antiqua" w:hAnsi="Book Antiqua" w:eastAsia="黑体" w:cs="宋体"/>
      <w:sz w:val="32"/>
      <w:szCs w:val="32"/>
    </w:rPr>
  </w:style>
  <w:style w:type="character" w:customStyle="1" w:styleId="19">
    <w:name w:val="标题 4 Char"/>
    <w:basedOn w:val="14"/>
    <w:link w:val="4"/>
    <w:autoRedefine/>
    <w:qFormat/>
    <w:uiPriority w:val="0"/>
    <w:rPr>
      <w:rFonts w:ascii="Book Antiqua" w:hAnsi="Book Antiqua" w:eastAsia="黑体" w:cs="宋体"/>
      <w:sz w:val="28"/>
      <w:szCs w:val="28"/>
    </w:rPr>
  </w:style>
  <w:style w:type="character" w:customStyle="1" w:styleId="20">
    <w:name w:val="标题 5 Char"/>
    <w:basedOn w:val="14"/>
    <w:link w:val="5"/>
    <w:autoRedefine/>
    <w:qFormat/>
    <w:uiPriority w:val="0"/>
    <w:rPr>
      <w:rFonts w:ascii="Book Antiqua" w:hAnsi="Book Antiqua" w:eastAsia="黑体" w:cs="宋体"/>
      <w:sz w:val="24"/>
      <w:szCs w:val="24"/>
    </w:rPr>
  </w:style>
  <w:style w:type="paragraph" w:styleId="21">
    <w:name w:val="List Paragraph"/>
    <w:basedOn w:val="1"/>
    <w:link w:val="22"/>
    <w:autoRedefine/>
    <w:qFormat/>
    <w:uiPriority w:val="34"/>
    <w:pPr>
      <w:ind w:firstLine="420" w:firstLineChars="200"/>
    </w:pPr>
    <w:rPr>
      <w:rFonts w:asciiTheme="minorHAnsi" w:hAnsiTheme="minorHAnsi" w:eastAsiaTheme="minorEastAsia" w:cstheme="minorBidi"/>
      <w:szCs w:val="22"/>
    </w:rPr>
  </w:style>
  <w:style w:type="character" w:customStyle="1" w:styleId="22">
    <w:name w:val="列出段落 Char"/>
    <w:link w:val="21"/>
    <w:autoRedefine/>
    <w:qFormat/>
    <w:uiPriority w:val="34"/>
    <w:rPr>
      <w:rFonts w:asciiTheme="minorHAnsi" w:hAnsiTheme="minorHAnsi" w:eastAsiaTheme="minorEastAsia" w:cstheme="minorBidi"/>
      <w:kern w:val="2"/>
      <w:sz w:val="21"/>
      <w:szCs w:val="22"/>
    </w:rPr>
  </w:style>
  <w:style w:type="character" w:customStyle="1" w:styleId="23">
    <w:name w:val="Item Step in table Char Char"/>
    <w:link w:val="24"/>
    <w:autoRedefine/>
    <w:qFormat/>
    <w:uiPriority w:val="0"/>
    <w:rPr>
      <w:rFonts w:cs="Arial"/>
      <w:bCs/>
      <w:szCs w:val="28"/>
    </w:rPr>
  </w:style>
  <w:style w:type="paragraph" w:customStyle="1" w:styleId="24">
    <w:name w:val="Item Step in table"/>
    <w:basedOn w:val="5"/>
    <w:link w:val="23"/>
    <w:autoRedefine/>
    <w:qFormat/>
    <w:uiPriority w:val="0"/>
    <w:pPr>
      <w:numPr>
        <w:ilvl w:val="0"/>
        <w:numId w:val="0"/>
      </w:numPr>
      <w:tabs>
        <w:tab w:val="left" w:pos="420"/>
      </w:tabs>
      <w:spacing w:before="80" w:after="80" w:line="240" w:lineRule="auto"/>
      <w:ind w:left="420" w:hanging="420"/>
    </w:pPr>
    <w:rPr>
      <w:rFonts w:hint="default" w:ascii="Times New Roman" w:hAnsi="Times New Roman" w:eastAsia="宋体" w:cs="Arial"/>
      <w:bCs/>
      <w:sz w:val="20"/>
      <w:szCs w:val="28"/>
    </w:rPr>
  </w:style>
  <w:style w:type="paragraph" w:customStyle="1" w:styleId="25">
    <w:name w:val="Block Label"/>
    <w:basedOn w:val="1"/>
    <w:next w:val="1"/>
    <w:autoRedefine/>
    <w:qFormat/>
    <w:uiPriority w:val="0"/>
    <w:pPr>
      <w:keepNext/>
      <w:keepLines/>
      <w:widowControl/>
      <w:numPr>
        <w:ilvl w:val="5"/>
        <w:numId w:val="1"/>
      </w:numPr>
      <w:topLinePunct/>
      <w:adjustRightInd w:val="0"/>
      <w:snapToGrid w:val="0"/>
      <w:spacing w:before="300" w:after="80" w:line="240" w:lineRule="atLeast"/>
      <w:jc w:val="left"/>
    </w:pPr>
    <w:rPr>
      <w:rFonts w:hint="eastAsia" w:ascii="Book Antiqua" w:hAnsi="Book Antiqua" w:eastAsia="黑体" w:cs="Book Antiqua"/>
      <w:bCs/>
      <w:kern w:val="0"/>
      <w:sz w:val="26"/>
      <w:szCs w:val="26"/>
    </w:rPr>
  </w:style>
  <w:style w:type="paragraph" w:customStyle="1" w:styleId="26">
    <w:name w:val="Table Description"/>
    <w:basedOn w:val="1"/>
    <w:next w:val="1"/>
    <w:autoRedefine/>
    <w:qFormat/>
    <w:uiPriority w:val="0"/>
    <w:pPr>
      <w:keepNext/>
      <w:widowControl/>
      <w:numPr>
        <w:ilvl w:val="8"/>
        <w:numId w:val="1"/>
      </w:numPr>
      <w:topLinePunct/>
      <w:adjustRightInd w:val="0"/>
      <w:snapToGrid w:val="0"/>
      <w:spacing w:before="320" w:after="80" w:line="240" w:lineRule="atLeast"/>
      <w:jc w:val="left"/>
    </w:pPr>
    <w:rPr>
      <w:rFonts w:hint="eastAsia" w:eastAsia="黑体" w:cs="Arial"/>
      <w:spacing w:val="-4"/>
      <w:szCs w:val="21"/>
    </w:rPr>
  </w:style>
  <w:style w:type="character" w:customStyle="1" w:styleId="27">
    <w:name w:val="Table Text Char"/>
    <w:link w:val="28"/>
    <w:autoRedefine/>
    <w:qFormat/>
    <w:uiPriority w:val="0"/>
    <w:rPr>
      <w:rFonts w:cs="Arial"/>
      <w:szCs w:val="21"/>
    </w:rPr>
  </w:style>
  <w:style w:type="paragraph" w:customStyle="1" w:styleId="28">
    <w:name w:val="Table Text"/>
    <w:basedOn w:val="1"/>
    <w:link w:val="27"/>
    <w:autoRedefine/>
    <w:qFormat/>
    <w:uiPriority w:val="0"/>
    <w:pPr>
      <w:topLinePunct/>
      <w:adjustRightInd w:val="0"/>
      <w:snapToGrid w:val="0"/>
      <w:spacing w:before="80" w:after="80" w:line="240" w:lineRule="atLeast"/>
      <w:jc w:val="left"/>
    </w:pPr>
    <w:rPr>
      <w:rFonts w:cs="Arial"/>
      <w:kern w:val="0"/>
      <w:sz w:val="20"/>
      <w:szCs w:val="21"/>
    </w:rPr>
  </w:style>
  <w:style w:type="paragraph" w:customStyle="1" w:styleId="29">
    <w:name w:val="Step"/>
    <w:basedOn w:val="1"/>
    <w:autoRedefine/>
    <w:qFormat/>
    <w:uiPriority w:val="0"/>
    <w:pPr>
      <w:widowControl/>
      <w:numPr>
        <w:ilvl w:val="6"/>
        <w:numId w:val="1"/>
      </w:numPr>
      <w:topLinePunct/>
      <w:adjustRightInd w:val="0"/>
      <w:snapToGrid w:val="0"/>
      <w:spacing w:before="160" w:after="160" w:line="240" w:lineRule="atLeast"/>
      <w:jc w:val="left"/>
    </w:pPr>
    <w:rPr>
      <w:rFonts w:hint="eastAsia" w:cs="Arial"/>
      <w:snapToGrid w:val="0"/>
      <w:kern w:val="0"/>
      <w:szCs w:val="21"/>
    </w:rPr>
  </w:style>
  <w:style w:type="paragraph" w:customStyle="1" w:styleId="30">
    <w:name w:val="CAUTION Text Step"/>
    <w:basedOn w:val="1"/>
    <w:autoRedefine/>
    <w:qFormat/>
    <w:uiPriority w:val="0"/>
    <w:pPr>
      <w:keepNext/>
      <w:keepLines/>
      <w:widowControl/>
      <w:numPr>
        <w:ilvl w:val="5"/>
        <w:numId w:val="2"/>
      </w:numPr>
      <w:pBdr>
        <w:bottom w:val="single" w:color="auto" w:sz="12" w:space="4"/>
      </w:pBdr>
      <w:topLinePunct/>
      <w:adjustRightInd w:val="0"/>
      <w:snapToGrid w:val="0"/>
      <w:spacing w:before="80" w:after="80" w:line="240" w:lineRule="atLeast"/>
      <w:jc w:val="left"/>
    </w:pPr>
    <w:rPr>
      <w:rFonts w:hint="eastAsia" w:eastAsia="楷体_GB2312" w:cs="Arial"/>
      <w:iCs/>
      <w:szCs w:val="21"/>
    </w:rPr>
  </w:style>
  <w:style w:type="paragraph" w:customStyle="1" w:styleId="31">
    <w:name w:val="Sub Item Step in Table"/>
    <w:autoRedefine/>
    <w:qFormat/>
    <w:uiPriority w:val="0"/>
    <w:pPr>
      <w:numPr>
        <w:ilvl w:val="1"/>
        <w:numId w:val="2"/>
      </w:numPr>
      <w:adjustRightInd w:val="0"/>
      <w:snapToGrid w:val="0"/>
      <w:spacing w:before="80" w:after="80" w:line="240" w:lineRule="atLeast"/>
    </w:pPr>
    <w:rPr>
      <w:rFonts w:hint="eastAsia" w:ascii="Times New Roman" w:hAnsi="Times New Roman" w:eastAsia="宋体" w:cs="Arial"/>
      <w:sz w:val="21"/>
      <w:szCs w:val="21"/>
      <w:lang w:val="en-US" w:eastAsia="zh-CN" w:bidi="ar-SA"/>
    </w:rPr>
  </w:style>
  <w:style w:type="paragraph" w:customStyle="1" w:styleId="32">
    <w:name w:val="Sub Item List in Table"/>
    <w:basedOn w:val="1"/>
    <w:autoRedefine/>
    <w:qFormat/>
    <w:uiPriority w:val="0"/>
    <w:pPr>
      <w:widowControl/>
      <w:numPr>
        <w:ilvl w:val="2"/>
        <w:numId w:val="2"/>
      </w:numPr>
      <w:topLinePunct/>
      <w:adjustRightInd w:val="0"/>
      <w:snapToGrid w:val="0"/>
      <w:spacing w:before="80" w:after="80" w:line="240" w:lineRule="atLeast"/>
      <w:jc w:val="left"/>
    </w:pPr>
    <w:rPr>
      <w:rFonts w:hint="eastAsia" w:cs="Arial"/>
      <w:szCs w:val="21"/>
    </w:rPr>
  </w:style>
  <w:style w:type="paragraph" w:customStyle="1" w:styleId="33">
    <w:name w:val="Sub Item Step in Table List"/>
    <w:autoRedefine/>
    <w:qFormat/>
    <w:uiPriority w:val="0"/>
    <w:pPr>
      <w:numPr>
        <w:ilvl w:val="3"/>
        <w:numId w:val="2"/>
      </w:numPr>
      <w:adjustRightInd w:val="0"/>
      <w:snapToGrid w:val="0"/>
      <w:spacing w:before="80" w:after="80" w:line="240" w:lineRule="atLeast"/>
    </w:pPr>
    <w:rPr>
      <w:rFonts w:hint="eastAsia" w:ascii="Times New Roman" w:hAnsi="Times New Roman" w:eastAsia="宋体" w:cs="Arial"/>
      <w:sz w:val="21"/>
      <w:szCs w:val="21"/>
      <w:lang w:val="en-US" w:eastAsia="zh-CN" w:bidi="ar-SA"/>
    </w:rPr>
  </w:style>
  <w:style w:type="paragraph" w:customStyle="1" w:styleId="34">
    <w:name w:val="Item List in Table"/>
    <w:basedOn w:val="1"/>
    <w:autoRedefine/>
    <w:qFormat/>
    <w:uiPriority w:val="99"/>
    <w:pPr>
      <w:widowControl/>
      <w:numPr>
        <w:ilvl w:val="0"/>
        <w:numId w:val="2"/>
      </w:numPr>
      <w:tabs>
        <w:tab w:val="left" w:pos="284"/>
      </w:tabs>
      <w:topLinePunct/>
      <w:adjustRightInd w:val="0"/>
      <w:snapToGrid w:val="0"/>
      <w:spacing w:before="80" w:after="80" w:line="240" w:lineRule="atLeast"/>
      <w:jc w:val="left"/>
    </w:pPr>
    <w:rPr>
      <w:rFonts w:hint="eastAsia" w:cs="Arial"/>
      <w:kern w:val="0"/>
      <w:szCs w:val="21"/>
    </w:rPr>
  </w:style>
  <w:style w:type="paragraph" w:customStyle="1" w:styleId="35">
    <w:name w:val="Figure Description"/>
    <w:next w:val="1"/>
    <w:autoRedefine/>
    <w:qFormat/>
    <w:uiPriority w:val="0"/>
    <w:pPr>
      <w:keepNext/>
      <w:numPr>
        <w:ilvl w:val="7"/>
        <w:numId w:val="1"/>
      </w:numPr>
      <w:adjustRightInd w:val="0"/>
      <w:snapToGrid w:val="0"/>
      <w:spacing w:before="320" w:after="80" w:line="240" w:lineRule="atLeast"/>
    </w:pPr>
    <w:rPr>
      <w:rFonts w:ascii="Times New Roman" w:hAnsi="Times New Roman" w:eastAsia="黑体" w:cs="Arial"/>
      <w:spacing w:val="-4"/>
      <w:kern w:val="2"/>
      <w:sz w:val="21"/>
      <w:szCs w:val="21"/>
      <w:lang w:val="en-US" w:eastAsia="zh-CN" w:bidi="ar-SA"/>
    </w:rPr>
  </w:style>
  <w:style w:type="paragraph" w:customStyle="1" w:styleId="36">
    <w:name w:val="Notes Text Step"/>
    <w:basedOn w:val="30"/>
    <w:autoRedefine/>
    <w:qFormat/>
    <w:uiPriority w:val="0"/>
    <w:pPr>
      <w:numPr>
        <w:ilvl w:val="6"/>
      </w:numPr>
      <w:pBdr>
        <w:bottom w:val="none" w:color="auto" w:sz="0" w:space="0"/>
      </w:pBdr>
      <w:spacing w:before="40" w:line="200" w:lineRule="atLeast"/>
    </w:pPr>
    <w:rPr>
      <w:sz w:val="18"/>
      <w:szCs w:val="18"/>
    </w:rPr>
  </w:style>
  <w:style w:type="paragraph" w:customStyle="1" w:styleId="37">
    <w:name w:val="Notes Text Step in Table"/>
    <w:autoRedefine/>
    <w:qFormat/>
    <w:uiPriority w:val="0"/>
    <w:pPr>
      <w:numPr>
        <w:ilvl w:val="7"/>
        <w:numId w:val="2"/>
      </w:numPr>
      <w:spacing w:before="40" w:after="80" w:line="200" w:lineRule="atLeast"/>
    </w:pPr>
    <w:rPr>
      <w:rFonts w:ascii="Times New Roman" w:hAnsi="Times New Roman" w:eastAsia="楷体_GB2312" w:cs="楷体_GB2312"/>
      <w:sz w:val="18"/>
      <w:szCs w:val="18"/>
      <w:lang w:val="en-US" w:eastAsia="zh-CN" w:bidi="ar-SA"/>
    </w:rPr>
  </w:style>
  <w:style w:type="paragraph" w:customStyle="1" w:styleId="38">
    <w:name w:val="Sub Item List in Table Step"/>
    <w:basedOn w:val="1"/>
    <w:autoRedefine/>
    <w:qFormat/>
    <w:uiPriority w:val="0"/>
    <w:pPr>
      <w:widowControl/>
      <w:numPr>
        <w:ilvl w:val="4"/>
        <w:numId w:val="2"/>
      </w:numPr>
      <w:topLinePunct/>
      <w:adjustRightInd w:val="0"/>
      <w:snapToGrid w:val="0"/>
      <w:spacing w:before="80" w:after="80" w:line="240" w:lineRule="atLeast"/>
      <w:jc w:val="left"/>
    </w:pPr>
    <w:rPr>
      <w:rFonts w:hint="eastAsia" w:cs="Arial"/>
      <w:szCs w:val="21"/>
    </w:rPr>
  </w:style>
  <w:style w:type="character" w:customStyle="1" w:styleId="39">
    <w:name w:val="批注框文本 Char"/>
    <w:basedOn w:val="14"/>
    <w:link w:val="9"/>
    <w:autoRedefine/>
    <w:qFormat/>
    <w:uiPriority w:val="0"/>
    <w:rPr>
      <w:kern w:val="2"/>
      <w:sz w:val="18"/>
      <w:szCs w:val="18"/>
    </w:rPr>
  </w:style>
  <w:style w:type="paragraph" w:customStyle="1" w:styleId="40">
    <w:name w:val="样式 宋体 小四 行距: 1.5 倍行距 首行缩进:  2 字符"/>
    <w:basedOn w:val="1"/>
    <w:autoRedefine/>
    <w:qFormat/>
    <w:uiPriority w:val="99"/>
    <w:pPr>
      <w:spacing w:line="360" w:lineRule="auto"/>
      <w:ind w:firstLine="480" w:firstLineChars="200"/>
    </w:pPr>
    <w:rPr>
      <w:rFonts w:ascii="Times New Roman" w:hAnsi="Times New Roman" w:cs="宋体"/>
    </w:rPr>
  </w:style>
  <w:style w:type="character" w:customStyle="1" w:styleId="41">
    <w:name w:val="font21"/>
    <w:basedOn w:val="14"/>
    <w:autoRedefine/>
    <w:qFormat/>
    <w:uiPriority w:val="0"/>
    <w:rPr>
      <w:rFonts w:hint="eastAsia" w:ascii="宋体" w:hAnsi="宋体" w:eastAsia="宋体" w:cs="宋体"/>
      <w:color w:val="000000"/>
      <w:sz w:val="20"/>
      <w:szCs w:val="20"/>
      <w:u w:val="none"/>
    </w:rPr>
  </w:style>
  <w:style w:type="character" w:customStyle="1" w:styleId="42">
    <w:name w:val="font31"/>
    <w:basedOn w:val="14"/>
    <w:autoRedefine/>
    <w:qFormat/>
    <w:uiPriority w:val="0"/>
    <w:rPr>
      <w:rFonts w:hint="default" w:ascii="Times New Roman" w:hAnsi="Times New Roman" w:cs="Times New Roman"/>
      <w:color w:val="000000"/>
      <w:sz w:val="20"/>
      <w:szCs w:val="20"/>
      <w:u w:val="none"/>
    </w:rPr>
  </w:style>
  <w:style w:type="character" w:customStyle="1" w:styleId="43">
    <w:name w:val="font11"/>
    <w:basedOn w:val="14"/>
    <w:autoRedefine/>
    <w:qFormat/>
    <w:uiPriority w:val="0"/>
    <w:rPr>
      <w:rFonts w:hint="eastAsia" w:ascii="宋体" w:hAnsi="宋体" w:eastAsia="宋体" w:cs="宋体"/>
      <w:color w:val="000000"/>
      <w:sz w:val="21"/>
      <w:szCs w:val="21"/>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1240</Words>
  <Characters>1500</Characters>
  <Lines>61</Lines>
  <Paragraphs>17</Paragraphs>
  <TotalTime>1</TotalTime>
  <ScaleCrop>false</ScaleCrop>
  <LinksUpToDate>false</LinksUpToDate>
  <CharactersWithSpaces>1575</CharactersWithSpaces>
  <Application>WPS Office_12.1.0.16388_F1E327BC-269C-435d-A152-05C5408002CA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2022-10-19T02:55:00Z</dcterms:created>
  <dc:creator>Administrator</dc:creator>
  <cp:lastModifiedBy>海色</cp:lastModifiedBy>
  <cp:lastPrinted>2022-10-20T06:50:00Z</cp:lastPrinted>
  <dcterms:modified xsi:type="dcterms:W3CDTF">2024-02-26T02:30:21Z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B75484C30A0D48A998196F431A9A3E69</vt:lpwstr>
  </property>
</Properties>
</file>