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仿宋"/>
          <w:b/>
          <w:color w:val="auto"/>
          <w:sz w:val="28"/>
          <w:szCs w:val="28"/>
          <w:highlight w:val="none"/>
        </w:rPr>
        <w:t>附件</w:t>
      </w:r>
      <w:r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  <w:t>1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62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b/>
                <w:bCs/>
                <w:color w:val="auto"/>
                <w:szCs w:val="32"/>
                <w:highlight w:val="none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auto"/>
                <w:szCs w:val="32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项目名称：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lang w:eastAsia="zh-CN"/>
              </w:rPr>
              <w:t>广州市道路养护中心北城养护所2024年交安设施材料采购项目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响应登记时间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供应商经办人签字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1F4B2F77"/>
    <w:rsid w:val="1F4B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iPriority w:val="0"/>
    <w:pPr>
      <w:ind w:firstLine="420" w:firstLineChars="200"/>
    </w:pPr>
    <w:rPr>
      <w:rFonts w:ascii="Calibri" w:hAnsi="Calibri"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2024-02-04T06:51:00Z</dcterms:created>
  <dc:creator>林灿龙</dc:creator>
  <cp:lastModifiedBy>林灿龙</cp:lastModifiedBy>
  <dcterms:modified xsi:type="dcterms:W3CDTF">2024-02-04T06:52:05Z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DE485A0198FD4D10ADC35398C49DD531_11</vt:lpwstr>
  </property>
</Properties>
</file>