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广州交投集团营运道路2023-2026年度机电养护综合管养项目-广河高速 (广州段) 、增城至从化高速、增城至花都北兴段、从化至黄埔高速工程网络安全设备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1.1项目名称：广州交投集团营运道路2023-2026年度机电养护综合管养项目-广河高速 (广州段) 、增城至从化高速、增城至花都北兴段、从化至黄埔高速工程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508-53-1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上网行为审计系统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508-53-3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防火墙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508-53-3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防火墙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106850.33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上网行为审计系统</w:t>
      </w:r>
    </w:p>
    <w:p>
      <w:pPr>
        <w:pStyle w:val="2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网络层吞吐量（大包）：2Gb，应用层吞吐量：150Mb，带宽性能：100Mb，IPSEC VPN加密性能（最高性能）：20Mb，支持用户数：500，包转发率：14.4Kpps，每秒新建连接数：1000，最大并发连接数：50000。</w:t>
      </w:r>
    </w:p>
    <w:p>
      <w:pPr>
        <w:pStyle w:val="2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硬件参数：规格：1U，内存大小：4G，硬盘容量：128G ，电源：单电源，接口：4千兆电口。</w:t>
      </w:r>
    </w:p>
    <w:p>
      <w:pPr>
        <w:pStyle w:val="2"/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防火墙</w:t>
      </w:r>
    </w:p>
    <w:p>
      <w:pPr>
        <w:pStyle w:val="2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网络层吞吐量：4G，应用层吞吐量：1G，防病毒吞吐量：500M，IPS吞吐量：300M，全威胁吞吐量：250M，并发连接数：100万，HTTP新建连接数：2.5万，SSL VPN推荐用户数（单独购买）：15，SSL VPN最大用户数（单独购买）：40，SSL VPN最大理论加密流量（单独购买）：150M，IPSec VPN 最大接入数：200，IPSec  VPN吞吐量：200M。</w:t>
      </w:r>
    </w:p>
    <w:p>
      <w:pPr>
        <w:pStyle w:val="2"/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spacing w:val="0"/>
          <w:kern w:val="2"/>
          <w:sz w:val="24"/>
          <w:szCs w:val="24"/>
          <w:lang w:val="en-US" w:eastAsia="zh-CN" w:bidi="ar-SA"/>
        </w:rPr>
        <w:t>硬件参数：规格：1U，内存大小：4G，硬盘容量：128G ，电源：单电源，接口：8千兆电口+2千兆光口SFP(*1台)；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CF2D69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18E5A06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CB5FE2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BCA5273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282CAD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417</Words>
  <Characters>478</Characters>
  <Lines>61</Lines>
  <Paragraphs>17</Paragraphs>
  <TotalTime>0</TotalTime>
  <ScaleCrop>false</ScaleCrop>
  <LinksUpToDate>false</LinksUpToDate>
  <CharactersWithSpaces>535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2024-01-16T08:04:49Z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