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广州西二环高速公路有限公司乐平收费站无人化收费改造项目工控机、交换机</w:t>
      </w:r>
      <w:r>
        <w:rPr>
          <w:rFonts w:hint="eastAsia" w:ascii="Times New Roman" w:hAnsi="Times New Roman" w:eastAsia="宋体" w:cs="Times New Roman"/>
          <w:b/>
          <w:color w:val="000000"/>
          <w:sz w:val="30"/>
          <w:szCs w:val="30"/>
        </w:rPr>
        <w:t>采购意向征集公告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lang w:val="en-US" w:eastAsia="zh-CN" w:bidi="ar-SA"/>
        </w:rPr>
        <w:t>1.</w:t>
      </w: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rPr>
        <w:t>广州西二环高速公路有限公司乐平收费站无人化收费改造项目</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0"/>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kern w:val="2"/>
          <w:sz w:val="24"/>
          <w:szCs w:val="24"/>
          <w:lang w:val="en-US" w:eastAsia="zh-CN" w:bidi="ar-SA"/>
        </w:rPr>
        <w:t>2.</w:t>
      </w:r>
      <w:r>
        <w:rPr>
          <w:rFonts w:hint="default" w:ascii="Times New Roman" w:hAnsi="Times New Roman" w:eastAsia="宋体" w:cs="Times New Roman"/>
          <w:b/>
          <w:snapToGrid w:val="0"/>
          <w:kern w:val="0"/>
          <w:sz w:val="24"/>
          <w:szCs w:val="24"/>
        </w:rPr>
        <w:t>具体工程量清单</w:t>
      </w:r>
    </w:p>
    <w:tbl>
      <w:tblPr>
        <w:tblStyle w:val="14"/>
        <w:tblW w:w="92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1617"/>
        <w:gridCol w:w="1216"/>
        <w:gridCol w:w="834"/>
        <w:gridCol w:w="800"/>
        <w:gridCol w:w="3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61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材料名称</w:t>
            </w:r>
          </w:p>
        </w:tc>
        <w:tc>
          <w:tcPr>
            <w:tcW w:w="1216"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834"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80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3633"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804-1-3</w:t>
            </w:r>
          </w:p>
        </w:tc>
        <w:tc>
          <w:tcPr>
            <w:tcW w:w="1617"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匝道ETC工控机</w:t>
            </w:r>
          </w:p>
        </w:tc>
        <w:tc>
          <w:tcPr>
            <w:tcW w:w="1216"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c>
          <w:tcPr>
            <w:tcW w:w="834"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套</w:t>
            </w:r>
          </w:p>
        </w:tc>
        <w:tc>
          <w:tcPr>
            <w:tcW w:w="80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2</w:t>
            </w:r>
          </w:p>
        </w:tc>
        <w:tc>
          <w:tcPr>
            <w:tcW w:w="3633"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ascii="Times New Roman" w:cs="Times New Roman" w:hAnsiTheme="minorEastAsia" w:eastAsiaTheme="minorEastAsia"/>
                <w:bCs/>
                <w:spacing w:val="0"/>
                <w:kern w:val="2"/>
                <w:sz w:val="21"/>
                <w:szCs w:val="21"/>
                <w:lang w:val="en-US" w:eastAsia="zh-CN" w:bidi="ar-SA"/>
              </w:rPr>
              <w:t>CPU：Intel Core i5、双核、主频2.5GHz以上；显卡至少支持1280╳1024分辨率；内存：≥4G DDR ECC；硬盘：500G固态硬盘，SATA接口硬盘，容量≥1T；串口：≥2个；USB：2.0以上，接口≥4个；10M/100M/1000M以太网接口不少于2个；电源：250W～500W可选；加固型工业机箱，风扇散热、防护级别不低于IP53；高可靠度容错系统设计。含操作系统Windows10专业版</w:t>
            </w:r>
            <w:r>
              <w:rPr>
                <w:rFonts w:hint="eastAsia" w:cs="Times New Roman" w:hAnsiTheme="minorEastAsia" w:eastAsiaTheme="minorEastAsia"/>
                <w:bCs/>
                <w:spacing w:val="0"/>
                <w:kern w:val="2"/>
                <w:sz w:val="21"/>
                <w:szCs w:val="21"/>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804-3-8</w:t>
            </w:r>
          </w:p>
        </w:tc>
        <w:tc>
          <w:tcPr>
            <w:tcW w:w="1617" w:type="dxa"/>
            <w:shd w:val="clear" w:color="auto" w:fill="auto"/>
            <w:vAlign w:val="center"/>
          </w:tcPr>
          <w:p>
            <w:pPr>
              <w:keepNext w:val="0"/>
              <w:keepLines w:val="0"/>
              <w:widowControl/>
              <w:suppressLineNumbers w:val="0"/>
              <w:jc w:val="left"/>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业务管理工控机</w:t>
            </w:r>
          </w:p>
        </w:tc>
        <w:tc>
          <w:tcPr>
            <w:tcW w:w="1216"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p>
        </w:tc>
        <w:tc>
          <w:tcPr>
            <w:tcW w:w="834"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套</w:t>
            </w:r>
          </w:p>
        </w:tc>
        <w:tc>
          <w:tcPr>
            <w:tcW w:w="800"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2</w:t>
            </w:r>
          </w:p>
        </w:tc>
        <w:tc>
          <w:tcPr>
            <w:tcW w:w="3633" w:type="dxa"/>
            <w:shd w:val="clear" w:color="auto" w:fill="auto"/>
            <w:vAlign w:val="center"/>
          </w:tcPr>
          <w:p>
            <w:pPr>
              <w:spacing w:beforeLines="0" w:afterLines="0"/>
              <w:jc w:val="left"/>
              <w:rPr>
                <w:rFonts w:hint="eastAsia" w:ascii="Times New Roman" w:hAnsi="Times New Roman" w:eastAsia="宋体" w:cs="Times New Roman"/>
                <w:sz w:val="21"/>
                <w:szCs w:val="21"/>
                <w:lang w:val="en-US" w:eastAsia="zh-CN"/>
              </w:rPr>
            </w:pPr>
            <w:r>
              <w:rPr>
                <w:rFonts w:hint="eastAsia" w:ascii="Times New Roman" w:cs="Times New Roman" w:hAnsiTheme="minorEastAsia" w:eastAsiaTheme="minorEastAsia"/>
                <w:bCs/>
                <w:spacing w:val="0"/>
                <w:kern w:val="2"/>
                <w:sz w:val="21"/>
                <w:szCs w:val="21"/>
                <w:lang w:val="en-US" w:eastAsia="zh-CN" w:bidi="ar-SA"/>
              </w:rPr>
              <w:t>用于远程处理自助、ETC车道、发票等管理使用；含显示器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804-1-5</w:t>
            </w:r>
          </w:p>
        </w:tc>
        <w:tc>
          <w:tcPr>
            <w:tcW w:w="1617"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8口交换机</w:t>
            </w:r>
          </w:p>
        </w:tc>
        <w:tc>
          <w:tcPr>
            <w:tcW w:w="1216"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p>
        </w:tc>
        <w:tc>
          <w:tcPr>
            <w:tcW w:w="83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台</w:t>
            </w:r>
          </w:p>
        </w:tc>
        <w:tc>
          <w:tcPr>
            <w:tcW w:w="80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3633" w:type="dxa"/>
            <w:shd w:val="clear" w:color="auto" w:fill="auto"/>
            <w:vAlign w:val="center"/>
          </w:tcPr>
          <w:p>
            <w:pPr>
              <w:spacing w:beforeLines="50" w:afterLines="50" w:line="240" w:lineRule="auto"/>
              <w:jc w:val="center"/>
              <w:rPr>
                <w:rFonts w:hint="eastAsia" w:ascii="Times New Roman" w:cs="Times New Roman" w:hAnsiTheme="minorEastAsia" w:eastAsiaTheme="minorEastAsia"/>
                <w:bCs/>
                <w:spacing w:val="0"/>
                <w:kern w:val="2"/>
                <w:sz w:val="21"/>
                <w:szCs w:val="21"/>
                <w:lang w:val="en-US" w:eastAsia="zh-CN" w:bidi="ar-SA"/>
              </w:rPr>
            </w:pPr>
            <w:r>
              <w:rPr>
                <w:rFonts w:hint="eastAsia" w:ascii="Times New Roman" w:cs="Times New Roman" w:hAnsiTheme="minorEastAsia" w:eastAsiaTheme="minorEastAsia"/>
                <w:bCs/>
                <w:spacing w:val="0"/>
                <w:kern w:val="2"/>
                <w:sz w:val="21"/>
                <w:szCs w:val="21"/>
                <w:lang w:val="en-US" w:eastAsia="zh-CN" w:bidi="ar-SA"/>
              </w:rPr>
              <w:t>背板速率≥6.4Gbps；</w:t>
            </w:r>
          </w:p>
          <w:p>
            <w:pPr>
              <w:spacing w:beforeLines="50" w:afterLines="50" w:line="240" w:lineRule="auto"/>
              <w:jc w:val="center"/>
              <w:rPr>
                <w:rFonts w:hint="eastAsia" w:ascii="Times New Roman" w:cs="Times New Roman" w:hAnsiTheme="minorEastAsia" w:eastAsiaTheme="minorEastAsia"/>
                <w:bCs/>
                <w:spacing w:val="0"/>
                <w:kern w:val="2"/>
                <w:sz w:val="21"/>
                <w:szCs w:val="21"/>
                <w:lang w:val="en-US" w:eastAsia="zh-CN" w:bidi="ar-SA"/>
              </w:rPr>
            </w:pPr>
            <w:r>
              <w:rPr>
                <w:rFonts w:hint="eastAsia" w:ascii="Times New Roman" w:cs="Times New Roman" w:hAnsiTheme="minorEastAsia" w:eastAsiaTheme="minorEastAsia"/>
                <w:bCs/>
                <w:spacing w:val="0"/>
                <w:kern w:val="2"/>
                <w:sz w:val="21"/>
                <w:szCs w:val="21"/>
                <w:lang w:val="en-US" w:eastAsia="zh-CN" w:bidi="ar-SA"/>
              </w:rPr>
              <w:t>– 包转发率≥2.53Mpps；</w:t>
            </w:r>
          </w:p>
          <w:p>
            <w:pPr>
              <w:spacing w:beforeLines="50" w:afterLines="50" w:line="240" w:lineRule="auto"/>
              <w:jc w:val="center"/>
              <w:rPr>
                <w:rFonts w:hint="eastAsia" w:ascii="Times New Roman" w:cs="Times New Roman" w:hAnsiTheme="minorEastAsia" w:eastAsiaTheme="minorEastAsia"/>
                <w:bCs/>
                <w:spacing w:val="0"/>
                <w:kern w:val="2"/>
                <w:sz w:val="21"/>
                <w:szCs w:val="21"/>
                <w:lang w:val="en-US" w:eastAsia="zh-CN" w:bidi="ar-SA"/>
              </w:rPr>
            </w:pPr>
            <w:r>
              <w:rPr>
                <w:rFonts w:hint="eastAsia" w:ascii="Times New Roman" w:cs="Times New Roman" w:hAnsiTheme="minorEastAsia" w:eastAsiaTheme="minorEastAsia"/>
                <w:bCs/>
                <w:spacing w:val="0"/>
                <w:kern w:val="2"/>
                <w:sz w:val="21"/>
                <w:szCs w:val="21"/>
                <w:lang w:val="en-US" w:eastAsia="zh-CN" w:bidi="ar-SA"/>
              </w:rPr>
              <w:t>– 所有端口支持线速转发；</w:t>
            </w:r>
          </w:p>
          <w:p>
            <w:pPr>
              <w:spacing w:beforeLines="50" w:afterLines="50" w:line="240" w:lineRule="auto"/>
              <w:jc w:val="center"/>
              <w:rPr>
                <w:rFonts w:hint="eastAsia" w:ascii="Times New Roman" w:cs="Times New Roman" w:hAnsiTheme="minorEastAsia" w:eastAsiaTheme="minorEastAsia"/>
                <w:bCs/>
                <w:spacing w:val="0"/>
                <w:kern w:val="2"/>
                <w:sz w:val="21"/>
                <w:szCs w:val="21"/>
                <w:lang w:val="en-US" w:eastAsia="zh-CN" w:bidi="ar-SA"/>
              </w:rPr>
            </w:pPr>
            <w:r>
              <w:rPr>
                <w:rFonts w:hint="eastAsia" w:ascii="Times New Roman" w:cs="Times New Roman" w:hAnsiTheme="minorEastAsia" w:eastAsiaTheme="minorEastAsia"/>
                <w:bCs/>
                <w:spacing w:val="0"/>
                <w:kern w:val="2"/>
                <w:sz w:val="21"/>
                <w:szCs w:val="21"/>
                <w:lang w:val="en-US" w:eastAsia="zh-CN" w:bidi="ar-SA"/>
              </w:rPr>
              <w:t>– 支持VLAN；</w:t>
            </w:r>
          </w:p>
          <w:p>
            <w:pPr>
              <w:spacing w:beforeLines="50" w:afterLines="50" w:line="240" w:lineRule="auto"/>
              <w:jc w:val="center"/>
              <w:rPr>
                <w:rFonts w:hint="eastAsia" w:ascii="Times New Roman" w:cs="Times New Roman" w:hAnsiTheme="minorEastAsia" w:eastAsiaTheme="minorEastAsia"/>
                <w:bCs/>
                <w:spacing w:val="0"/>
                <w:kern w:val="2"/>
                <w:sz w:val="21"/>
                <w:szCs w:val="21"/>
                <w:lang w:val="en-US" w:eastAsia="zh-CN" w:bidi="ar-SA"/>
              </w:rPr>
            </w:pPr>
            <w:r>
              <w:rPr>
                <w:rFonts w:hint="eastAsia" w:ascii="Times New Roman" w:cs="Times New Roman" w:hAnsiTheme="minorEastAsia" w:eastAsiaTheme="minorEastAsia"/>
                <w:bCs/>
                <w:spacing w:val="0"/>
                <w:kern w:val="2"/>
                <w:sz w:val="21"/>
                <w:szCs w:val="21"/>
                <w:lang w:val="en-US" w:eastAsia="zh-CN" w:bidi="ar-SA"/>
              </w:rPr>
              <w:t>– 可选业务单板类型：支持多种RJ45和千兆单模接口；</w:t>
            </w:r>
          </w:p>
          <w:p>
            <w:pPr>
              <w:spacing w:beforeLines="50" w:afterLines="50" w:line="240" w:lineRule="auto"/>
              <w:jc w:val="center"/>
              <w:rPr>
                <w:rFonts w:hint="eastAsia" w:ascii="Times New Roman" w:cs="Times New Roman" w:hAnsiTheme="minorEastAsia" w:eastAsiaTheme="minorEastAsia"/>
                <w:bCs/>
                <w:spacing w:val="0"/>
                <w:kern w:val="2"/>
                <w:sz w:val="21"/>
                <w:szCs w:val="21"/>
                <w:lang w:val="en-US" w:eastAsia="zh-CN" w:bidi="ar-SA"/>
              </w:rPr>
            </w:pPr>
            <w:r>
              <w:rPr>
                <w:rFonts w:hint="eastAsia" w:ascii="Times New Roman" w:cs="Times New Roman" w:hAnsiTheme="minorEastAsia" w:eastAsiaTheme="minorEastAsia"/>
                <w:bCs/>
                <w:spacing w:val="0"/>
                <w:kern w:val="2"/>
                <w:sz w:val="21"/>
                <w:szCs w:val="21"/>
                <w:lang w:val="en-US" w:eastAsia="zh-CN" w:bidi="ar-SA"/>
              </w:rPr>
              <w:t>– 支持组播；</w:t>
            </w:r>
          </w:p>
          <w:p>
            <w:pPr>
              <w:spacing w:beforeLines="50" w:afterLines="50" w:line="240" w:lineRule="auto"/>
              <w:jc w:val="center"/>
              <w:rPr>
                <w:rFonts w:hint="eastAsia" w:ascii="Times New Roman" w:cs="Times New Roman" w:hAnsiTheme="minorEastAsia" w:eastAsiaTheme="minorEastAsia"/>
                <w:bCs/>
                <w:spacing w:val="0"/>
                <w:kern w:val="2"/>
                <w:sz w:val="21"/>
                <w:szCs w:val="21"/>
                <w:lang w:val="en-US" w:eastAsia="zh-CN" w:bidi="ar-SA"/>
              </w:rPr>
            </w:pPr>
            <w:r>
              <w:rPr>
                <w:rFonts w:hint="eastAsia" w:ascii="Times New Roman" w:cs="Times New Roman" w:hAnsiTheme="minorEastAsia" w:eastAsiaTheme="minorEastAsia"/>
                <w:bCs/>
                <w:spacing w:val="0"/>
                <w:kern w:val="2"/>
                <w:sz w:val="21"/>
                <w:szCs w:val="21"/>
                <w:lang w:val="en-US" w:eastAsia="zh-CN" w:bidi="ar-SA"/>
              </w:rPr>
              <w:t>– 支持广播速率限制；</w:t>
            </w:r>
          </w:p>
          <w:p>
            <w:pPr>
              <w:spacing w:beforeLines="50" w:afterLines="50" w:line="240" w:lineRule="auto"/>
              <w:jc w:val="center"/>
              <w:rPr>
                <w:rFonts w:hint="eastAsia" w:ascii="Times New Roman" w:cs="Times New Roman" w:hAnsiTheme="minorEastAsia" w:eastAsiaTheme="minorEastAsia"/>
                <w:bCs/>
                <w:spacing w:val="0"/>
                <w:kern w:val="2"/>
                <w:sz w:val="21"/>
                <w:szCs w:val="21"/>
                <w:lang w:val="en-US" w:eastAsia="zh-CN" w:bidi="ar-SA"/>
              </w:rPr>
            </w:pPr>
            <w:r>
              <w:rPr>
                <w:rFonts w:hint="eastAsia" w:ascii="Times New Roman" w:cs="Times New Roman" w:hAnsiTheme="minorEastAsia" w:eastAsiaTheme="minorEastAsia"/>
                <w:bCs/>
                <w:spacing w:val="0"/>
                <w:kern w:val="2"/>
                <w:sz w:val="21"/>
                <w:szCs w:val="21"/>
                <w:lang w:val="en-US" w:eastAsia="zh-CN" w:bidi="ar-SA"/>
              </w:rPr>
              <w:t>– 支持8个优先级队列，3个丢弃优先级；</w:t>
            </w:r>
          </w:p>
          <w:p>
            <w:pPr>
              <w:spacing w:beforeLines="50" w:afterLines="50" w:line="240" w:lineRule="auto"/>
              <w:jc w:val="center"/>
              <w:rPr>
                <w:rFonts w:hint="eastAsia" w:ascii="Times New Roman" w:cs="Times New Roman" w:hAnsiTheme="minorEastAsia" w:eastAsiaTheme="minorEastAsia"/>
                <w:bCs/>
                <w:spacing w:val="0"/>
                <w:kern w:val="2"/>
                <w:sz w:val="21"/>
                <w:szCs w:val="21"/>
                <w:lang w:val="en-US" w:eastAsia="zh-CN" w:bidi="ar-SA"/>
              </w:rPr>
            </w:pPr>
            <w:r>
              <w:rPr>
                <w:rFonts w:hint="eastAsia" w:ascii="Times New Roman" w:cs="Times New Roman" w:hAnsiTheme="minorEastAsia" w:eastAsiaTheme="minorEastAsia"/>
                <w:bCs/>
                <w:spacing w:val="0"/>
                <w:kern w:val="2"/>
                <w:sz w:val="21"/>
                <w:szCs w:val="21"/>
                <w:lang w:val="en-US" w:eastAsia="zh-CN" w:bidi="ar-SA"/>
              </w:rPr>
              <w:t>– 支持IEEE 802.1X认证；</w:t>
            </w:r>
          </w:p>
          <w:p>
            <w:pPr>
              <w:spacing w:beforeLines="50" w:afterLines="50" w:line="240" w:lineRule="auto"/>
              <w:jc w:val="center"/>
              <w:rPr>
                <w:rFonts w:hint="eastAsia" w:ascii="Times New Roman" w:cs="Times New Roman" w:hAnsiTheme="minorEastAsia" w:eastAsiaTheme="minorEastAsia"/>
                <w:bCs/>
                <w:spacing w:val="0"/>
                <w:kern w:val="2"/>
                <w:sz w:val="21"/>
                <w:szCs w:val="21"/>
                <w:lang w:val="en-US" w:eastAsia="zh-CN" w:bidi="ar-SA"/>
              </w:rPr>
            </w:pPr>
            <w:r>
              <w:rPr>
                <w:rFonts w:hint="eastAsia" w:ascii="Times New Roman" w:cs="Times New Roman" w:hAnsiTheme="minorEastAsia" w:eastAsiaTheme="minorEastAsia"/>
                <w:bCs/>
                <w:spacing w:val="0"/>
                <w:kern w:val="2"/>
                <w:sz w:val="21"/>
                <w:szCs w:val="21"/>
                <w:lang w:val="en-US" w:eastAsia="zh-CN" w:bidi="ar-SA"/>
              </w:rPr>
              <w:t>– 支持SNMP V1/2/3，支持RMON；</w:t>
            </w:r>
          </w:p>
          <w:p>
            <w:pPr>
              <w:spacing w:beforeLines="50" w:afterLines="50" w:line="240" w:lineRule="auto"/>
              <w:jc w:val="center"/>
              <w:rPr>
                <w:rFonts w:hint="eastAsia" w:ascii="Times New Roman" w:cs="Times New Roman" w:hAnsiTheme="minorEastAsia" w:eastAsiaTheme="minorEastAsia"/>
                <w:bCs/>
                <w:spacing w:val="0"/>
                <w:kern w:val="2"/>
                <w:sz w:val="21"/>
                <w:szCs w:val="21"/>
                <w:lang w:val="en-US" w:eastAsia="zh-CN" w:bidi="ar-SA"/>
              </w:rPr>
            </w:pPr>
            <w:r>
              <w:rPr>
                <w:rFonts w:hint="eastAsia" w:ascii="Times New Roman" w:cs="Times New Roman" w:hAnsiTheme="minorEastAsia" w:eastAsiaTheme="minorEastAsia"/>
                <w:bCs/>
                <w:spacing w:val="0"/>
                <w:kern w:val="2"/>
                <w:sz w:val="21"/>
                <w:szCs w:val="21"/>
                <w:lang w:val="en-US" w:eastAsia="zh-CN" w:bidi="ar-SA"/>
              </w:rPr>
              <w:t>– 配置100/1000M接口≥8个，单模光口≥2个，光模块≥3对；</w:t>
            </w:r>
          </w:p>
          <w:p>
            <w:pPr>
              <w:spacing w:beforeLines="50" w:afterLines="50" w:line="240" w:lineRule="auto"/>
              <w:jc w:val="center"/>
              <w:rPr>
                <w:rFonts w:hint="default" w:cs="Times New Roman" w:hAnsiTheme="minorEastAsia" w:eastAsiaTheme="minorEastAsia"/>
                <w:bCs/>
                <w:szCs w:val="21"/>
                <w:lang w:val="en-US" w:eastAsia="zh-CN"/>
              </w:rPr>
            </w:pPr>
            <w:r>
              <w:rPr>
                <w:rFonts w:hint="eastAsia" w:ascii="Times New Roman" w:cs="Times New Roman" w:hAnsiTheme="minorEastAsia" w:eastAsiaTheme="minorEastAsia"/>
                <w:bCs/>
                <w:spacing w:val="0"/>
                <w:kern w:val="2"/>
                <w:sz w:val="21"/>
                <w:szCs w:val="21"/>
                <w:lang w:val="en-US" w:eastAsia="zh-CN" w:bidi="ar-SA"/>
              </w:rPr>
              <w:t>– 具备简单网管功能</w:t>
            </w:r>
          </w:p>
          <w:p>
            <w:pPr>
              <w:spacing w:beforeLines="0" w:afterLines="0"/>
              <w:jc w:val="left"/>
              <w:rPr>
                <w:rFonts w:hint="eastAsia" w:ascii="Times New Roman" w:cs="Times New Roman" w:hAnsiTheme="minorEastAsia" w:eastAsiaTheme="minorEastAsia"/>
                <w:bCs/>
                <w:spacing w:val="0"/>
                <w:kern w:val="2"/>
                <w:sz w:val="21"/>
                <w:szCs w:val="21"/>
                <w:lang w:val="en-US" w:eastAsia="zh-CN" w:bidi="ar-SA"/>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3"/>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6"/>
        <w:numPr>
          <w:ilvl w:val="0"/>
          <w:numId w:val="3"/>
        </w:numPr>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28692.00</w:t>
      </w:r>
      <w:r>
        <w:rPr>
          <w:rFonts w:hint="default" w:ascii="Times New Roman" w:hAnsi="Times New Roman" w:eastAsia="宋体" w:cs="Times New Roman"/>
          <w:bCs/>
          <w:snapToGrid w:val="0"/>
          <w:kern w:val="0"/>
          <w:sz w:val="24"/>
          <w:szCs w:val="24"/>
        </w:rPr>
        <w:t>元。</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bCs/>
          <w:kern w:val="2"/>
          <w:sz w:val="24"/>
          <w:szCs w:val="24"/>
          <w:lang w:val="en-US" w:eastAsia="zh-CN" w:bidi="ar-SA"/>
        </w:rPr>
        <w:t>3</w:t>
      </w:r>
      <w:r>
        <w:rPr>
          <w:rFonts w:hint="default" w:ascii="Times New Roman" w:hAnsi="Times New Roman" w:eastAsia="宋体" w:cs="Times New Roman"/>
          <w:b/>
          <w:bCs/>
          <w:kern w:val="2"/>
          <w:sz w:val="21"/>
          <w:szCs w:val="24"/>
          <w:lang w:val="en-US" w:eastAsia="zh-CN" w:bidi="ar-SA"/>
        </w:rPr>
        <w:t>.</w:t>
      </w:r>
      <w:r>
        <w:rPr>
          <w:rFonts w:hint="default" w:ascii="Times New Roman" w:hAnsi="Times New Roman" w:eastAsia="宋体" w:cs="Times New Roman"/>
          <w:b/>
          <w:snapToGrid w:val="0"/>
          <w:kern w:val="0"/>
          <w:sz w:val="24"/>
          <w:szCs w:val="24"/>
        </w:rPr>
        <w:t>供应商资格条件</w:t>
      </w:r>
    </w:p>
    <w:p>
      <w:pPr>
        <w:pStyle w:val="6"/>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bidi="ar-SA"/>
        </w:rPr>
        <w:t>4</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w:t>
      </w:r>
      <w:r>
        <w:rPr>
          <w:rFonts w:hint="eastAsia" w:cs="Times New Roman"/>
          <w:color w:val="000000"/>
          <w:sz w:val="24"/>
          <w:szCs w:val="24"/>
          <w:lang w:val="en-US" w:eastAsia="zh-CN"/>
        </w:rPr>
        <w:t>及营业执照</w:t>
      </w:r>
      <w:bookmarkStart w:id="3" w:name="_GoBack"/>
      <w:bookmarkEnd w:id="3"/>
      <w:r>
        <w:rPr>
          <w:rFonts w:hint="default" w:ascii="Times New Roman" w:hAnsi="Times New Roman" w:eastAsia="宋体" w:cs="Times New Roman"/>
          <w:color w:val="000000"/>
          <w:sz w:val="24"/>
          <w:szCs w:val="24"/>
        </w:rPr>
        <w:t>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20</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17</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1263635487</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逾期无效。采购人在收到响应回执后根据供应商信用信誉等情况进行讨论提议，不再另行发布采购公告。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18"/>
      <w:bookmarkStart w:id="1" w:name="_Toc332965960"/>
      <w:bookmarkStart w:id="2" w:name="_Toc332793891"/>
      <w:r>
        <w:rPr>
          <w:rFonts w:hint="eastAsia" w:cs="Times New Roman"/>
          <w:b/>
          <w:snapToGrid w:val="0"/>
          <w:kern w:val="0"/>
          <w:sz w:val="24"/>
          <w:szCs w:val="24"/>
          <w:lang w:val="en-US" w:eastAsia="zh-CN" w:bidi="ar-SA"/>
        </w:rPr>
        <w:t>5</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梁</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17</w:t>
      </w:r>
      <w:r>
        <w:rPr>
          <w:rFonts w:hint="default" w:ascii="Times New Roman" w:hAnsi="Times New Roman" w:eastAsia="宋体" w:cs="Times New Roman"/>
          <w:color w:val="000000"/>
          <w:sz w:val="24"/>
          <w:szCs w:val="24"/>
        </w:rPr>
        <w:t>日</w:t>
      </w:r>
    </w:p>
    <w:sectPr>
      <w:pgSz w:w="11906" w:h="16838"/>
      <w:pgMar w:top="986" w:right="1800" w:bottom="93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C06D5F"/>
    <w:multiLevelType w:val="singleLevel"/>
    <w:tmpl w:val="CEC06D5F"/>
    <w:lvl w:ilvl="0" w:tentative="0">
      <w:start w:val="1"/>
      <w:numFmt w:val="decimal"/>
      <w:suff w:val="nothing"/>
      <w:lvlText w:val="（%1）"/>
      <w:lvlJc w:val="left"/>
    </w:lvl>
  </w:abstractNum>
  <w:abstractNum w:abstractNumId="1">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2"/>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3"/>
      <w:suff w:val="nothing"/>
      <w:lvlText w:val="%1.%2.%3 "/>
      <w:lvlJc w:val="left"/>
      <w:pPr>
        <w:ind w:left="142" w:firstLine="0"/>
      </w:pPr>
    </w:lvl>
    <w:lvl w:ilvl="3" w:tentative="0">
      <w:start w:val="1"/>
      <w:numFmt w:val="decimal"/>
      <w:lvlRestart w:val="1"/>
      <w:pStyle w:val="4"/>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5"/>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2">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3393105"/>
    <w:rsid w:val="03563CB7"/>
    <w:rsid w:val="046B1D8B"/>
    <w:rsid w:val="046E3765"/>
    <w:rsid w:val="05D76CA1"/>
    <w:rsid w:val="05FC2DA4"/>
    <w:rsid w:val="06622CB2"/>
    <w:rsid w:val="06A411DD"/>
    <w:rsid w:val="072D08E0"/>
    <w:rsid w:val="083A6841"/>
    <w:rsid w:val="08CF1E16"/>
    <w:rsid w:val="08EE3671"/>
    <w:rsid w:val="09117B80"/>
    <w:rsid w:val="09293C1C"/>
    <w:rsid w:val="092A167C"/>
    <w:rsid w:val="095E1615"/>
    <w:rsid w:val="0A310FDA"/>
    <w:rsid w:val="0A634ED8"/>
    <w:rsid w:val="0A69025B"/>
    <w:rsid w:val="0AB539B9"/>
    <w:rsid w:val="0B867103"/>
    <w:rsid w:val="0C397098"/>
    <w:rsid w:val="0DA26991"/>
    <w:rsid w:val="0E3A4B3B"/>
    <w:rsid w:val="0ECB4993"/>
    <w:rsid w:val="112A7044"/>
    <w:rsid w:val="11D5219F"/>
    <w:rsid w:val="123D1FC9"/>
    <w:rsid w:val="127F2BCB"/>
    <w:rsid w:val="12ED5CBA"/>
    <w:rsid w:val="140B63F8"/>
    <w:rsid w:val="142F0FB1"/>
    <w:rsid w:val="14C447F8"/>
    <w:rsid w:val="155C0297"/>
    <w:rsid w:val="156452D7"/>
    <w:rsid w:val="15983E83"/>
    <w:rsid w:val="176F6C9D"/>
    <w:rsid w:val="17936E30"/>
    <w:rsid w:val="179D22A5"/>
    <w:rsid w:val="185145F5"/>
    <w:rsid w:val="18606150"/>
    <w:rsid w:val="18E02F28"/>
    <w:rsid w:val="19B32EC3"/>
    <w:rsid w:val="19EC0A79"/>
    <w:rsid w:val="1A786886"/>
    <w:rsid w:val="1C654B13"/>
    <w:rsid w:val="1CC7757C"/>
    <w:rsid w:val="1D5379E4"/>
    <w:rsid w:val="1DC008E5"/>
    <w:rsid w:val="1DD86320"/>
    <w:rsid w:val="1EFF5193"/>
    <w:rsid w:val="1F3E25C9"/>
    <w:rsid w:val="1F8905C9"/>
    <w:rsid w:val="1F9A0F77"/>
    <w:rsid w:val="1FEF3071"/>
    <w:rsid w:val="20205D7D"/>
    <w:rsid w:val="2031368A"/>
    <w:rsid w:val="2039362C"/>
    <w:rsid w:val="23A93537"/>
    <w:rsid w:val="24875F4B"/>
    <w:rsid w:val="25D6438C"/>
    <w:rsid w:val="25E92311"/>
    <w:rsid w:val="26445799"/>
    <w:rsid w:val="28126A09"/>
    <w:rsid w:val="29325D7D"/>
    <w:rsid w:val="29B42C36"/>
    <w:rsid w:val="2A6117E0"/>
    <w:rsid w:val="2A8940C2"/>
    <w:rsid w:val="2A9C2048"/>
    <w:rsid w:val="2AD229EB"/>
    <w:rsid w:val="2B5411B0"/>
    <w:rsid w:val="2B975488"/>
    <w:rsid w:val="2BB05A29"/>
    <w:rsid w:val="2BBE1469"/>
    <w:rsid w:val="2CDE1CDD"/>
    <w:rsid w:val="2D393A69"/>
    <w:rsid w:val="2E0860D1"/>
    <w:rsid w:val="2E402CEA"/>
    <w:rsid w:val="2E5A20BA"/>
    <w:rsid w:val="2ECB5FE2"/>
    <w:rsid w:val="31F44517"/>
    <w:rsid w:val="337322A8"/>
    <w:rsid w:val="33923E93"/>
    <w:rsid w:val="33D53A32"/>
    <w:rsid w:val="34403FA4"/>
    <w:rsid w:val="34DB5F68"/>
    <w:rsid w:val="35912415"/>
    <w:rsid w:val="371778DF"/>
    <w:rsid w:val="37E62326"/>
    <w:rsid w:val="38A511DA"/>
    <w:rsid w:val="39056DD9"/>
    <w:rsid w:val="3A1B67E7"/>
    <w:rsid w:val="3A7D6982"/>
    <w:rsid w:val="3C047712"/>
    <w:rsid w:val="3C996FEB"/>
    <w:rsid w:val="3CCC5DA0"/>
    <w:rsid w:val="3CD77495"/>
    <w:rsid w:val="3D4445A5"/>
    <w:rsid w:val="3DC27043"/>
    <w:rsid w:val="3DD1395F"/>
    <w:rsid w:val="3DD51301"/>
    <w:rsid w:val="3E8C010F"/>
    <w:rsid w:val="3EFD65C9"/>
    <w:rsid w:val="3F6327E6"/>
    <w:rsid w:val="3F7703BF"/>
    <w:rsid w:val="400E2C48"/>
    <w:rsid w:val="403A795B"/>
    <w:rsid w:val="4044389B"/>
    <w:rsid w:val="40C03B09"/>
    <w:rsid w:val="42100EF9"/>
    <w:rsid w:val="42474B43"/>
    <w:rsid w:val="42925DB2"/>
    <w:rsid w:val="42D40179"/>
    <w:rsid w:val="434B112E"/>
    <w:rsid w:val="443D1A3B"/>
    <w:rsid w:val="4504286C"/>
    <w:rsid w:val="46C97C03"/>
    <w:rsid w:val="46CC2327"/>
    <w:rsid w:val="471A188F"/>
    <w:rsid w:val="472B5FAC"/>
    <w:rsid w:val="48AD79E8"/>
    <w:rsid w:val="48F03340"/>
    <w:rsid w:val="49032DD0"/>
    <w:rsid w:val="4908486B"/>
    <w:rsid w:val="49B06B1E"/>
    <w:rsid w:val="49DC5C4D"/>
    <w:rsid w:val="4A44006F"/>
    <w:rsid w:val="4B3450B1"/>
    <w:rsid w:val="4BFB311F"/>
    <w:rsid w:val="4C7148A9"/>
    <w:rsid w:val="4D41787A"/>
    <w:rsid w:val="4DA31AFF"/>
    <w:rsid w:val="4DB34E2F"/>
    <w:rsid w:val="4DB87F36"/>
    <w:rsid w:val="4E082D04"/>
    <w:rsid w:val="50DE6FEF"/>
    <w:rsid w:val="513444D8"/>
    <w:rsid w:val="515756D7"/>
    <w:rsid w:val="52871060"/>
    <w:rsid w:val="52ED4007"/>
    <w:rsid w:val="54210D44"/>
    <w:rsid w:val="54227B28"/>
    <w:rsid w:val="55A27C63"/>
    <w:rsid w:val="55A710AE"/>
    <w:rsid w:val="55B35218"/>
    <w:rsid w:val="560F1B9D"/>
    <w:rsid w:val="576320A6"/>
    <w:rsid w:val="57BF2D4E"/>
    <w:rsid w:val="58B74CBC"/>
    <w:rsid w:val="598A3C77"/>
    <w:rsid w:val="5B2814D9"/>
    <w:rsid w:val="5CF56323"/>
    <w:rsid w:val="5D4D1D73"/>
    <w:rsid w:val="5D972077"/>
    <w:rsid w:val="5E8E770E"/>
    <w:rsid w:val="623B7383"/>
    <w:rsid w:val="63166D1A"/>
    <w:rsid w:val="65922BE0"/>
    <w:rsid w:val="65CA5E8C"/>
    <w:rsid w:val="65CF770C"/>
    <w:rsid w:val="680622D3"/>
    <w:rsid w:val="6AC87D14"/>
    <w:rsid w:val="6ACF7141"/>
    <w:rsid w:val="6AF27A26"/>
    <w:rsid w:val="6B2D401B"/>
    <w:rsid w:val="6B686E01"/>
    <w:rsid w:val="6C083654"/>
    <w:rsid w:val="6C094604"/>
    <w:rsid w:val="6C751B3B"/>
    <w:rsid w:val="6DC37643"/>
    <w:rsid w:val="6E182D60"/>
    <w:rsid w:val="6E354925"/>
    <w:rsid w:val="6E4A295F"/>
    <w:rsid w:val="6EAE5472"/>
    <w:rsid w:val="6EC41DCE"/>
    <w:rsid w:val="6ED924EF"/>
    <w:rsid w:val="6FE03650"/>
    <w:rsid w:val="70327008"/>
    <w:rsid w:val="70926DFA"/>
    <w:rsid w:val="710B2708"/>
    <w:rsid w:val="724471CD"/>
    <w:rsid w:val="72C12E0D"/>
    <w:rsid w:val="733E69BF"/>
    <w:rsid w:val="734653CB"/>
    <w:rsid w:val="74963E13"/>
    <w:rsid w:val="75292AD1"/>
    <w:rsid w:val="7553467E"/>
    <w:rsid w:val="760D37CC"/>
    <w:rsid w:val="76BB6B1C"/>
    <w:rsid w:val="777C4360"/>
    <w:rsid w:val="78B31BE9"/>
    <w:rsid w:val="79870010"/>
    <w:rsid w:val="79E2018B"/>
    <w:rsid w:val="7A7C5C95"/>
    <w:rsid w:val="7B3B62E0"/>
    <w:rsid w:val="7C7F737F"/>
    <w:rsid w:val="7CF20C20"/>
    <w:rsid w:val="7DA154A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8"/>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3">
    <w:name w:val="heading 3"/>
    <w:basedOn w:val="1"/>
    <w:next w:val="1"/>
    <w:link w:val="19"/>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4">
    <w:name w:val="heading 4"/>
    <w:basedOn w:val="1"/>
    <w:next w:val="1"/>
    <w:link w:val="20"/>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5">
    <w:name w:val="heading 5"/>
    <w:basedOn w:val="1"/>
    <w:next w:val="1"/>
    <w:link w:val="21"/>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99"/>
    <w:pPr>
      <w:ind w:firstLine="420" w:firstLineChars="200"/>
    </w:pPr>
  </w:style>
  <w:style w:type="paragraph" w:styleId="7">
    <w:name w:val="Body Text"/>
    <w:basedOn w:val="1"/>
    <w:autoRedefine/>
    <w:unhideWhenUsed/>
    <w:qFormat/>
    <w:uiPriority w:val="99"/>
    <w:pPr>
      <w:spacing w:line="480" w:lineRule="auto"/>
      <w:jc w:val="center"/>
    </w:pPr>
    <w:rPr>
      <w:rFonts w:ascii="宋体"/>
      <w:b/>
      <w:sz w:val="72"/>
      <w:szCs w:val="20"/>
    </w:rPr>
  </w:style>
  <w:style w:type="paragraph" w:styleId="8">
    <w:name w:val="Body Text Indent"/>
    <w:basedOn w:val="1"/>
    <w:autoRedefine/>
    <w:qFormat/>
    <w:uiPriority w:val="0"/>
    <w:pPr>
      <w:spacing w:after="120"/>
      <w:ind w:left="420" w:leftChars="200"/>
    </w:pPr>
    <w:rPr>
      <w:lang w:val="zh-CN"/>
    </w:rPr>
  </w:style>
  <w:style w:type="paragraph" w:styleId="9">
    <w:name w:val="Plain Text"/>
    <w:basedOn w:val="1"/>
    <w:next w:val="1"/>
    <w:autoRedefine/>
    <w:qFormat/>
    <w:uiPriority w:val="0"/>
    <w:rPr>
      <w:rFonts w:ascii="宋体" w:hAnsi="Courier New"/>
      <w:szCs w:val="20"/>
    </w:rPr>
  </w:style>
  <w:style w:type="paragraph" w:styleId="10">
    <w:name w:val="Balloon Text"/>
    <w:basedOn w:val="1"/>
    <w:link w:val="40"/>
    <w:autoRedefine/>
    <w:qFormat/>
    <w:uiPriority w:val="0"/>
    <w:rPr>
      <w:sz w:val="18"/>
      <w:szCs w:val="18"/>
    </w:rPr>
  </w:style>
  <w:style w:type="paragraph" w:styleId="11">
    <w:name w:val="footer"/>
    <w:basedOn w:val="1"/>
    <w:link w:val="17"/>
    <w:autoRedefine/>
    <w:qFormat/>
    <w:uiPriority w:val="0"/>
    <w:pPr>
      <w:tabs>
        <w:tab w:val="center" w:pos="4153"/>
        <w:tab w:val="right" w:pos="8306"/>
      </w:tabs>
      <w:snapToGrid w:val="0"/>
      <w:jc w:val="left"/>
    </w:pPr>
    <w:rPr>
      <w:sz w:val="18"/>
      <w:szCs w:val="18"/>
    </w:rPr>
  </w:style>
  <w:style w:type="paragraph" w:styleId="12">
    <w:name w:val="header"/>
    <w:basedOn w:val="1"/>
    <w:link w:val="16"/>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2"/>
    <w:basedOn w:val="8"/>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6">
    <w:name w:val="页眉 Char"/>
    <w:basedOn w:val="15"/>
    <w:link w:val="12"/>
    <w:autoRedefine/>
    <w:qFormat/>
    <w:uiPriority w:val="0"/>
    <w:rPr>
      <w:kern w:val="2"/>
      <w:sz w:val="18"/>
      <w:szCs w:val="18"/>
    </w:rPr>
  </w:style>
  <w:style w:type="character" w:customStyle="1" w:styleId="17">
    <w:name w:val="页脚 Char"/>
    <w:basedOn w:val="15"/>
    <w:link w:val="11"/>
    <w:autoRedefine/>
    <w:qFormat/>
    <w:uiPriority w:val="0"/>
    <w:rPr>
      <w:kern w:val="2"/>
      <w:sz w:val="18"/>
      <w:szCs w:val="18"/>
    </w:rPr>
  </w:style>
  <w:style w:type="character" w:customStyle="1" w:styleId="18">
    <w:name w:val="标题 2 Char"/>
    <w:basedOn w:val="15"/>
    <w:link w:val="2"/>
    <w:autoRedefine/>
    <w:qFormat/>
    <w:uiPriority w:val="0"/>
    <w:rPr>
      <w:rFonts w:ascii="Book Antiqua" w:hAnsi="Book Antiqua" w:eastAsia="黑体" w:cs="Book Antiqua"/>
      <w:bCs/>
      <w:sz w:val="36"/>
      <w:szCs w:val="36"/>
      <w:lang w:eastAsia="en-US"/>
    </w:rPr>
  </w:style>
  <w:style w:type="character" w:customStyle="1" w:styleId="19">
    <w:name w:val="标题 3 Char"/>
    <w:basedOn w:val="15"/>
    <w:link w:val="3"/>
    <w:autoRedefine/>
    <w:qFormat/>
    <w:uiPriority w:val="0"/>
    <w:rPr>
      <w:rFonts w:ascii="Book Antiqua" w:hAnsi="Book Antiqua" w:eastAsia="黑体" w:cs="宋体"/>
      <w:sz w:val="32"/>
      <w:szCs w:val="32"/>
    </w:rPr>
  </w:style>
  <w:style w:type="character" w:customStyle="1" w:styleId="20">
    <w:name w:val="标题 4 Char"/>
    <w:basedOn w:val="15"/>
    <w:link w:val="4"/>
    <w:autoRedefine/>
    <w:qFormat/>
    <w:uiPriority w:val="0"/>
    <w:rPr>
      <w:rFonts w:ascii="Book Antiqua" w:hAnsi="Book Antiqua" w:eastAsia="黑体" w:cs="宋体"/>
      <w:sz w:val="28"/>
      <w:szCs w:val="28"/>
    </w:rPr>
  </w:style>
  <w:style w:type="character" w:customStyle="1" w:styleId="21">
    <w:name w:val="标题 5 Char"/>
    <w:basedOn w:val="15"/>
    <w:link w:val="5"/>
    <w:autoRedefine/>
    <w:qFormat/>
    <w:uiPriority w:val="0"/>
    <w:rPr>
      <w:rFonts w:ascii="Book Antiqua" w:hAnsi="Book Antiqua" w:eastAsia="黑体" w:cs="宋体"/>
      <w:sz w:val="24"/>
      <w:szCs w:val="24"/>
    </w:rPr>
  </w:style>
  <w:style w:type="paragraph" w:styleId="22">
    <w:name w:val="List Paragraph"/>
    <w:basedOn w:val="1"/>
    <w:link w:val="23"/>
    <w:autoRedefine/>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autoRedefine/>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autoRedefine/>
    <w:qFormat/>
    <w:uiPriority w:val="0"/>
    <w:rPr>
      <w:rFonts w:cs="Arial"/>
      <w:bCs/>
      <w:szCs w:val="28"/>
    </w:rPr>
  </w:style>
  <w:style w:type="paragraph" w:customStyle="1" w:styleId="25">
    <w:name w:val="Item Step in table"/>
    <w:basedOn w:val="5"/>
    <w:link w:val="24"/>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autoRedefine/>
    <w:qFormat/>
    <w:uiPriority w:val="0"/>
    <w:rPr>
      <w:rFonts w:cs="Arial"/>
      <w:szCs w:val="21"/>
    </w:rPr>
  </w:style>
  <w:style w:type="paragraph" w:customStyle="1" w:styleId="29">
    <w:name w:val="Table Text"/>
    <w:basedOn w:val="1"/>
    <w:link w:val="28"/>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autoRedefine/>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0"/>
    <w:autoRedefine/>
    <w:qFormat/>
    <w:uiPriority w:val="0"/>
    <w:rPr>
      <w:kern w:val="2"/>
      <w:sz w:val="18"/>
      <w:szCs w:val="18"/>
    </w:rPr>
  </w:style>
  <w:style w:type="paragraph" w:customStyle="1" w:styleId="41">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2">
    <w:name w:val="font21"/>
    <w:basedOn w:val="15"/>
    <w:autoRedefine/>
    <w:qFormat/>
    <w:uiPriority w:val="0"/>
    <w:rPr>
      <w:rFonts w:hint="eastAsia" w:ascii="宋体" w:hAnsi="宋体" w:eastAsia="宋体" w:cs="宋体"/>
      <w:color w:val="000000"/>
      <w:sz w:val="20"/>
      <w:szCs w:val="20"/>
      <w:u w:val="none"/>
    </w:rPr>
  </w:style>
  <w:style w:type="character" w:customStyle="1" w:styleId="43">
    <w:name w:val="font31"/>
    <w:basedOn w:val="15"/>
    <w:autoRedefine/>
    <w:qFormat/>
    <w:uiPriority w:val="0"/>
    <w:rPr>
      <w:rFonts w:hint="default" w:ascii="Times New Roman" w:hAnsi="Times New Roman" w:cs="Times New Roman"/>
      <w:color w:val="000000"/>
      <w:sz w:val="20"/>
      <w:szCs w:val="20"/>
      <w:u w:val="none"/>
    </w:rPr>
  </w:style>
  <w:style w:type="character" w:customStyle="1" w:styleId="44">
    <w:name w:val="font41"/>
    <w:basedOn w:val="15"/>
    <w:autoRedefine/>
    <w:qFormat/>
    <w:uiPriority w:val="0"/>
    <w:rPr>
      <w:rFonts w:hint="eastAsia" w:ascii="宋体" w:hAnsi="宋体" w:eastAsia="宋体" w:cs="宋体"/>
      <w:color w:val="000000"/>
      <w:sz w:val="20"/>
      <w:szCs w:val="20"/>
      <w:u w:val="none"/>
      <w:vertAlign w:val="superscript"/>
    </w:rPr>
  </w:style>
  <w:style w:type="character" w:customStyle="1" w:styleId="45">
    <w:name w:val="font51"/>
    <w:basedOn w:val="15"/>
    <w:autoRedefine/>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452</Words>
  <Characters>569</Characters>
  <Lines>61</Lines>
  <Paragraphs>17</Paragraphs>
  <TotalTime>2</TotalTime>
  <ScaleCrop>false</ScaleCrop>
  <LinksUpToDate>false</LinksUpToDate>
  <CharactersWithSpaces>627</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2023-11-29T06:10:00Z</cp:lastPrinted>
  <dcterms:modified xsi:type="dcterms:W3CDTF">2024-01-17T08:33:11Z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B75484C30A0D48A998196F431A9A3E69</vt:lpwstr>
  </property>
</Properties>
</file>