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广州西二环高速公路有限公司乐平收费站无人化收费改造项目软件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841"/>
        <w:gridCol w:w="1895"/>
        <w:gridCol w:w="966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804-1-23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Style w:val="44"/>
                <w:lang w:val="en-US" w:eastAsia="zh-CN" w:bidi="ar"/>
              </w:rPr>
              <w:t>匝道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ETC自由流车道系统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804-1-24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匝道ETC自由流服务系统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804-1-25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匝道ETC自由流监控系统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804-1-26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匝道ETC自由流诱导系统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804-1-27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ETC车道软件升级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804-1-28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混合车道软件升级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804-1-29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手持机系统升级改造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804-2-27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混合车道及手持机收费系统改造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804-2-28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原有自助缴费设备升级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804-3-10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双天线ETC专用车道收费系统改造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804-2-5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车道自助发卡收费软件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804-2-9</w:t>
            </w:r>
          </w:p>
        </w:tc>
        <w:tc>
          <w:tcPr>
            <w:tcW w:w="184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车道自助缴费系统软件</w:t>
            </w:r>
          </w:p>
        </w:tc>
        <w:tc>
          <w:tcPr>
            <w:tcW w:w="189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458500.00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3D22CB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2024-01-11T11:55:40Z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