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集团各路段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数据底座对接技术服务采购意向征集公告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集团平台对接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数据推送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40676.81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4"/>
        </w:numPr>
        <w:topLinePunct/>
        <w:spacing w:line="360" w:lineRule="auto"/>
        <w:outlineLvl w:val="1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技术参数要求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一、集团平台对接</w:t>
      </w:r>
    </w:p>
    <w:p>
      <w:pPr>
        <w:pStyle w:val="8"/>
        <w:numPr>
          <w:ilvl w:val="0"/>
          <w:numId w:val="0"/>
        </w:numPr>
        <w:ind w:left="479" w:leftChars="228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1、对接数据底座，嵌入数据底座的各类界面；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2、大屏端嵌入数据底座系统；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3、系统授权互认对接。</w:t>
      </w:r>
    </w:p>
    <w:p>
      <w:pPr>
        <w:pStyle w:val="8"/>
        <w:numPr>
          <w:ilvl w:val="0"/>
          <w:numId w:val="0"/>
        </w:numPr>
        <w:ind w:firstLine="480" w:firstLineChars="200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二、数据推送</w:t>
      </w:r>
    </w:p>
    <w:p>
      <w:pPr>
        <w:pStyle w:val="8"/>
        <w:numPr>
          <w:ilvl w:val="0"/>
          <w:numId w:val="0"/>
        </w:numPr>
        <w:ind w:left="479" w:leftChars="228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1、推送收费站车牌识别数据(vehIdInfo)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2、推送ETC 门架车牌识别数据(gantryVehIdInfo)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3、推送ETC 门架计费扣费交易记录(gantryPassData)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4、推送入口站通行数据(enPass)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5、推送出口站 ETC 通行数据(exPass)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6、推送出口站其他交易数据(otherTrans)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7、推送敏感数据脱敏处理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br w:type="textWrapping"/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8、推送集团下全部路段部署与联调</w:t>
      </w:r>
    </w:p>
    <w:p>
      <w:pPr>
        <w:pStyle w:val="8"/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59F63682"/>
    <w:multiLevelType w:val="singleLevel"/>
    <w:tmpl w:val="59F6368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9522D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2F501C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4E3786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A51717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2C10966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2024-01-09T01:59:50Z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