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eastAsia" w:cs="Times New Roman"/>
          <w:b/>
          <w:color w:val="000000"/>
          <w:sz w:val="30"/>
          <w:szCs w:val="30"/>
          <w:lang w:val="en-US" w:eastAsia="zh-CN"/>
        </w:rPr>
        <w:t>广州西二环高速公路有限公司乐平收费站无人化收费改造项目发卡设备、缴费设备、栏杆机等</w:t>
      </w:r>
      <w:r>
        <w:rPr>
          <w:rFonts w:hint="eastAsia" w:ascii="Times New Roman" w:hAnsi="Times New Roman" w:eastAsia="宋体" w:cs="Times New Roman"/>
          <w:b/>
          <w:color w:val="000000"/>
          <w:sz w:val="30"/>
          <w:szCs w:val="30"/>
        </w:rPr>
        <w:t>采购意向征集公告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lang w:val="en-US" w:eastAsia="zh-CN" w:bidi="ar-SA"/>
        </w:rPr>
        <w:t>1.</w:t>
      </w: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w:t>
      </w:r>
      <w:r>
        <w:rPr>
          <w:rFonts w:hint="eastAsia" w:ascii="Times New Roman" w:hAnsi="Times New Roman" w:eastAsia="宋体" w:cs="Times New Roman"/>
          <w:bCs/>
          <w:snapToGrid w:val="0"/>
          <w:kern w:val="0"/>
          <w:sz w:val="24"/>
          <w:szCs w:val="24"/>
        </w:rPr>
        <w:t>广</w:t>
      </w:r>
      <w:bookmarkStart w:id="3" w:name="_GoBack"/>
      <w:bookmarkEnd w:id="3"/>
      <w:r>
        <w:rPr>
          <w:rFonts w:hint="eastAsia" w:ascii="Times New Roman" w:hAnsi="Times New Roman" w:eastAsia="宋体" w:cs="Times New Roman"/>
          <w:bCs/>
          <w:snapToGrid w:val="0"/>
          <w:kern w:val="0"/>
          <w:sz w:val="24"/>
          <w:szCs w:val="24"/>
        </w:rPr>
        <w:t>州西二环高速公路有限公司乐平收费站无人化收费改造项目</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0"/>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kern w:val="2"/>
          <w:sz w:val="24"/>
          <w:szCs w:val="24"/>
          <w:lang w:val="en-US" w:eastAsia="zh-CN" w:bidi="ar-SA"/>
        </w:rPr>
        <w:t>2.</w:t>
      </w:r>
      <w:r>
        <w:rPr>
          <w:rFonts w:hint="default" w:ascii="Times New Roman" w:hAnsi="Times New Roman" w:eastAsia="宋体" w:cs="Times New Roman"/>
          <w:b/>
          <w:snapToGrid w:val="0"/>
          <w:kern w:val="0"/>
          <w:sz w:val="24"/>
          <w:szCs w:val="24"/>
        </w:rPr>
        <w:t>具体工程量清单</w:t>
      </w:r>
    </w:p>
    <w:tbl>
      <w:tblPr>
        <w:tblStyle w:val="14"/>
        <w:tblW w:w="8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4"/>
        <w:gridCol w:w="2599"/>
        <w:gridCol w:w="1137"/>
        <w:gridCol w:w="966"/>
        <w:gridCol w:w="850"/>
        <w:gridCol w:w="1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4"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2599"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材料名称</w:t>
            </w:r>
          </w:p>
        </w:tc>
        <w:tc>
          <w:tcPr>
            <w:tcW w:w="113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966"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85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1944"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804-2-2</w:t>
            </w:r>
          </w:p>
        </w:tc>
        <w:tc>
          <w:tcPr>
            <w:tcW w:w="259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自助发卡模块（嵌入式）</w:t>
            </w:r>
          </w:p>
        </w:tc>
        <w:tc>
          <w:tcPr>
            <w:tcW w:w="1137"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p>
        </w:tc>
        <w:tc>
          <w:tcPr>
            <w:tcW w:w="96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套</w:t>
            </w:r>
          </w:p>
        </w:tc>
        <w:tc>
          <w:tcPr>
            <w:tcW w:w="8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1</w:t>
            </w:r>
          </w:p>
        </w:tc>
        <w:tc>
          <w:tcPr>
            <w:tcW w:w="1944"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804-2-3</w:t>
            </w:r>
          </w:p>
        </w:tc>
        <w:tc>
          <w:tcPr>
            <w:tcW w:w="259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自助发卡设备（独立户外式）</w:t>
            </w:r>
          </w:p>
        </w:tc>
        <w:tc>
          <w:tcPr>
            <w:tcW w:w="1137"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lang w:val="en-US" w:eastAsia="zh-CN"/>
              </w:rPr>
            </w:pPr>
          </w:p>
        </w:tc>
        <w:tc>
          <w:tcPr>
            <w:tcW w:w="96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套</w:t>
            </w:r>
          </w:p>
        </w:tc>
        <w:tc>
          <w:tcPr>
            <w:tcW w:w="8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2</w:t>
            </w:r>
          </w:p>
        </w:tc>
        <w:tc>
          <w:tcPr>
            <w:tcW w:w="1944" w:type="dxa"/>
            <w:shd w:val="clear" w:color="auto" w:fill="auto"/>
            <w:vAlign w:val="center"/>
          </w:tcPr>
          <w:p>
            <w:pPr>
              <w:keepNext w:val="0"/>
              <w:keepLines w:val="0"/>
              <w:widowControl/>
              <w:suppressLineNumbers w:val="0"/>
              <w:jc w:val="left"/>
              <w:textAlignment w:val="center"/>
              <w:rPr>
                <w:rFonts w:hint="eastAsia"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804-2-6</w:t>
            </w:r>
          </w:p>
        </w:tc>
        <w:tc>
          <w:tcPr>
            <w:tcW w:w="259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自助缴费模块（嵌入式）</w:t>
            </w:r>
          </w:p>
        </w:tc>
        <w:tc>
          <w:tcPr>
            <w:tcW w:w="1137"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lang w:val="en-US" w:eastAsia="zh-CN"/>
              </w:rPr>
            </w:pPr>
          </w:p>
        </w:tc>
        <w:tc>
          <w:tcPr>
            <w:tcW w:w="96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套</w:t>
            </w:r>
          </w:p>
        </w:tc>
        <w:tc>
          <w:tcPr>
            <w:tcW w:w="8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1</w:t>
            </w:r>
          </w:p>
        </w:tc>
        <w:tc>
          <w:tcPr>
            <w:tcW w:w="194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sz w:val="21"/>
                <w:szCs w:val="21"/>
                <w:lang w:val="en-US" w:eastAsia="zh-CN"/>
              </w:rPr>
            </w:pPr>
            <w:r>
              <w:rPr>
                <w:rFonts w:hint="eastAsia" w:ascii="宋体" w:hAnsi="宋体" w:cs="宋体"/>
                <w:i w:val="0"/>
                <w:iCs w:val="0"/>
                <w:color w:val="auto"/>
                <w:kern w:val="0"/>
                <w:sz w:val="18"/>
                <w:szCs w:val="18"/>
                <w:u w:val="none"/>
                <w:lang w:val="en-US" w:eastAsia="zh-CN" w:bidi="ar"/>
              </w:rPr>
              <w:t>托盘投卡式设备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804-2-7</w:t>
            </w:r>
          </w:p>
        </w:tc>
        <w:tc>
          <w:tcPr>
            <w:tcW w:w="259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自助缴费设备（独立户外式）</w:t>
            </w:r>
          </w:p>
        </w:tc>
        <w:tc>
          <w:tcPr>
            <w:tcW w:w="1137"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lang w:val="en-US" w:eastAsia="zh-CN"/>
              </w:rPr>
            </w:pPr>
          </w:p>
        </w:tc>
        <w:tc>
          <w:tcPr>
            <w:tcW w:w="96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套</w:t>
            </w:r>
          </w:p>
        </w:tc>
        <w:tc>
          <w:tcPr>
            <w:tcW w:w="8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auto"/>
                <w:kern w:val="0"/>
                <w:sz w:val="18"/>
                <w:szCs w:val="18"/>
                <w:u w:val="none"/>
                <w:lang w:val="en-US" w:eastAsia="zh-CN" w:bidi="ar"/>
              </w:rPr>
              <w:t>1</w:t>
            </w:r>
          </w:p>
        </w:tc>
        <w:tc>
          <w:tcPr>
            <w:tcW w:w="194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sz w:val="21"/>
                <w:szCs w:val="21"/>
                <w:lang w:val="en-US" w:eastAsia="zh-CN"/>
              </w:rPr>
            </w:pPr>
            <w:r>
              <w:rPr>
                <w:rFonts w:hint="eastAsia" w:ascii="宋体" w:hAnsi="宋体" w:cs="宋体"/>
                <w:i w:val="0"/>
                <w:iCs w:val="0"/>
                <w:color w:val="auto"/>
                <w:kern w:val="0"/>
                <w:sz w:val="18"/>
                <w:szCs w:val="18"/>
                <w:u w:val="none"/>
                <w:lang w:val="en-US" w:eastAsia="zh-CN" w:bidi="ar"/>
              </w:rPr>
              <w:t>托盘投卡式设备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804-2-22</w:t>
            </w:r>
          </w:p>
        </w:tc>
        <w:tc>
          <w:tcPr>
            <w:tcW w:w="259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镭视一体机全功能车型识别系统</w:t>
            </w:r>
          </w:p>
        </w:tc>
        <w:tc>
          <w:tcPr>
            <w:tcW w:w="1137"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lang w:val="en-US" w:eastAsia="zh-CN"/>
              </w:rPr>
            </w:pPr>
          </w:p>
        </w:tc>
        <w:tc>
          <w:tcPr>
            <w:tcW w:w="96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套</w:t>
            </w:r>
          </w:p>
        </w:tc>
        <w:tc>
          <w:tcPr>
            <w:tcW w:w="8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w:t>
            </w:r>
          </w:p>
        </w:tc>
        <w:tc>
          <w:tcPr>
            <w:tcW w:w="194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cs="宋体"/>
                <w:i w:val="0"/>
                <w:iCs w:val="0"/>
                <w:color w:val="auto"/>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804-2-2</w:t>
            </w:r>
            <w:r>
              <w:rPr>
                <w:rFonts w:hint="eastAsia" w:ascii="宋体" w:hAnsi="宋体" w:cs="宋体"/>
                <w:i w:val="0"/>
                <w:iCs w:val="0"/>
                <w:color w:val="auto"/>
                <w:kern w:val="0"/>
                <w:sz w:val="18"/>
                <w:szCs w:val="18"/>
                <w:u w:val="none"/>
                <w:lang w:val="en-US" w:eastAsia="zh-CN" w:bidi="ar"/>
              </w:rPr>
              <w:t>8</w:t>
            </w:r>
          </w:p>
        </w:tc>
        <w:tc>
          <w:tcPr>
            <w:tcW w:w="259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原有自助缴费设备升级</w:t>
            </w:r>
          </w:p>
        </w:tc>
        <w:tc>
          <w:tcPr>
            <w:tcW w:w="1137"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1"/>
                <w:szCs w:val="21"/>
                <w:lang w:val="en-US" w:eastAsia="zh-CN"/>
              </w:rPr>
            </w:pPr>
          </w:p>
        </w:tc>
        <w:tc>
          <w:tcPr>
            <w:tcW w:w="96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套</w:t>
            </w:r>
          </w:p>
        </w:tc>
        <w:tc>
          <w:tcPr>
            <w:tcW w:w="8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1</w:t>
            </w:r>
          </w:p>
        </w:tc>
        <w:tc>
          <w:tcPr>
            <w:tcW w:w="194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现场设备以旧换新升级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804-2-21</w:t>
            </w:r>
          </w:p>
        </w:tc>
        <w:tc>
          <w:tcPr>
            <w:tcW w:w="2599"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三合一自动栏杆</w:t>
            </w:r>
          </w:p>
        </w:tc>
        <w:tc>
          <w:tcPr>
            <w:tcW w:w="1137"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p>
        </w:tc>
        <w:tc>
          <w:tcPr>
            <w:tcW w:w="966"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套</w:t>
            </w:r>
          </w:p>
        </w:tc>
        <w:tc>
          <w:tcPr>
            <w:tcW w:w="85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w:t>
            </w:r>
          </w:p>
        </w:tc>
        <w:tc>
          <w:tcPr>
            <w:tcW w:w="1944"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不含车道控制器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804-3-5</w:t>
            </w:r>
          </w:p>
        </w:tc>
        <w:tc>
          <w:tcPr>
            <w:tcW w:w="2599"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单通道车辆检测器</w:t>
            </w:r>
          </w:p>
        </w:tc>
        <w:tc>
          <w:tcPr>
            <w:tcW w:w="1137" w:type="dxa"/>
            <w:shd w:val="clear" w:color="auto" w:fill="auto"/>
            <w:vAlign w:val="center"/>
          </w:tcPr>
          <w:p>
            <w:pPr>
              <w:jc w:val="center"/>
              <w:rPr>
                <w:rFonts w:hint="eastAsia" w:ascii="Times New Roman" w:hAnsi="Times New Roman" w:eastAsia="宋体" w:cs="Times New Roman"/>
                <w:sz w:val="21"/>
                <w:szCs w:val="21"/>
                <w:lang w:val="en-US" w:eastAsia="zh-CN"/>
              </w:rPr>
            </w:pPr>
          </w:p>
        </w:tc>
        <w:tc>
          <w:tcPr>
            <w:tcW w:w="966"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85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1944"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单通道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804-3-6</w:t>
            </w:r>
          </w:p>
        </w:tc>
        <w:tc>
          <w:tcPr>
            <w:tcW w:w="2599"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三合一自动栏杆</w:t>
            </w:r>
          </w:p>
        </w:tc>
        <w:tc>
          <w:tcPr>
            <w:tcW w:w="1137"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p>
        </w:tc>
        <w:tc>
          <w:tcPr>
            <w:tcW w:w="966"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套</w:t>
            </w:r>
          </w:p>
        </w:tc>
        <w:tc>
          <w:tcPr>
            <w:tcW w:w="85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w:t>
            </w:r>
          </w:p>
        </w:tc>
        <w:tc>
          <w:tcPr>
            <w:tcW w:w="1944"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不含车道控制器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804-</w:t>
            </w:r>
            <w:r>
              <w:rPr>
                <w:rFonts w:hint="eastAsia" w:ascii="宋体" w:hAnsi="宋体" w:cs="宋体"/>
                <w:i w:val="0"/>
                <w:iCs w:val="0"/>
                <w:color w:val="000000"/>
                <w:kern w:val="0"/>
                <w:sz w:val="18"/>
                <w:szCs w:val="18"/>
                <w:u w:val="none"/>
                <w:lang w:val="en-US" w:eastAsia="zh-CN" w:bidi="ar"/>
              </w:rPr>
              <w:t>5-2</w:t>
            </w:r>
          </w:p>
        </w:tc>
        <w:tc>
          <w:tcPr>
            <w:tcW w:w="2599"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手动栏杆（电动装置）</w:t>
            </w:r>
          </w:p>
        </w:tc>
        <w:tc>
          <w:tcPr>
            <w:tcW w:w="1137" w:type="dxa"/>
            <w:shd w:val="clear" w:color="auto" w:fill="auto"/>
            <w:vAlign w:val="center"/>
          </w:tcPr>
          <w:p>
            <w:pPr>
              <w:jc w:val="center"/>
              <w:rPr>
                <w:rFonts w:hint="eastAsia" w:ascii="Times New Roman" w:hAnsi="Times New Roman" w:eastAsia="宋体" w:cs="Times New Roman"/>
                <w:sz w:val="21"/>
                <w:szCs w:val="21"/>
                <w:lang w:val="en-US" w:eastAsia="zh-CN"/>
              </w:rPr>
            </w:pPr>
          </w:p>
        </w:tc>
        <w:tc>
          <w:tcPr>
            <w:tcW w:w="966"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套</w:t>
            </w:r>
          </w:p>
        </w:tc>
        <w:tc>
          <w:tcPr>
            <w:tcW w:w="85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w:t>
            </w:r>
          </w:p>
        </w:tc>
        <w:tc>
          <w:tcPr>
            <w:tcW w:w="1944"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电控手动栏杆</w:t>
            </w: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3"/>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6"/>
        <w:numPr>
          <w:ilvl w:val="0"/>
          <w:numId w:val="3"/>
        </w:numPr>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651800.00</w:t>
      </w:r>
      <w:r>
        <w:rPr>
          <w:rFonts w:hint="default" w:ascii="Times New Roman" w:hAnsi="Times New Roman" w:eastAsia="宋体" w:cs="Times New Roman"/>
          <w:bCs/>
          <w:snapToGrid w:val="0"/>
          <w:kern w:val="0"/>
          <w:sz w:val="24"/>
          <w:szCs w:val="24"/>
        </w:rPr>
        <w:t>元。</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bCs/>
          <w:kern w:val="2"/>
          <w:sz w:val="24"/>
          <w:szCs w:val="24"/>
          <w:lang w:val="en-US" w:eastAsia="zh-CN" w:bidi="ar-SA"/>
        </w:rPr>
        <w:t>3</w:t>
      </w:r>
      <w:r>
        <w:rPr>
          <w:rFonts w:hint="default" w:ascii="Times New Roman" w:hAnsi="Times New Roman" w:eastAsia="宋体" w:cs="Times New Roman"/>
          <w:b/>
          <w:bCs/>
          <w:kern w:val="2"/>
          <w:sz w:val="21"/>
          <w:szCs w:val="24"/>
          <w:lang w:val="en-US" w:eastAsia="zh-CN" w:bidi="ar-SA"/>
        </w:rPr>
        <w:t>.</w:t>
      </w:r>
      <w:r>
        <w:rPr>
          <w:rFonts w:hint="default" w:ascii="Times New Roman" w:hAnsi="Times New Roman" w:eastAsia="宋体" w:cs="Times New Roman"/>
          <w:b/>
          <w:snapToGrid w:val="0"/>
          <w:kern w:val="0"/>
          <w:sz w:val="24"/>
          <w:szCs w:val="24"/>
        </w:rPr>
        <w:t>供应商资格条件</w:t>
      </w:r>
    </w:p>
    <w:p>
      <w:pPr>
        <w:pStyle w:val="6"/>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pStyle w:val="6"/>
        <w:numPr>
          <w:ilvl w:val="0"/>
          <w:numId w:val="4"/>
        </w:numPr>
        <w:ind w:left="0" w:leftChars="0" w:firstLine="0" w:firstLineChars="0"/>
        <w:rPr>
          <w:rFonts w:hint="eastAsia" w:cs="Times New Roman"/>
          <w:b/>
          <w:snapToGrid w:val="0"/>
          <w:kern w:val="0"/>
          <w:sz w:val="24"/>
          <w:szCs w:val="24"/>
          <w:lang w:val="en-US" w:eastAsia="zh-CN" w:bidi="ar-SA"/>
        </w:rPr>
      </w:pPr>
      <w:r>
        <w:rPr>
          <w:rFonts w:hint="eastAsia" w:cs="Times New Roman"/>
          <w:b/>
          <w:snapToGrid w:val="0"/>
          <w:kern w:val="0"/>
          <w:sz w:val="24"/>
          <w:szCs w:val="24"/>
          <w:lang w:val="en-US" w:eastAsia="zh-CN" w:bidi="ar-SA"/>
        </w:rPr>
        <w:t>技术参数</w:t>
      </w:r>
    </w:p>
    <w:p>
      <w:pPr>
        <w:numPr>
          <w:ilvl w:val="0"/>
          <w:numId w:val="0"/>
        </w:numPr>
        <w:topLinePunct/>
        <w:spacing w:line="360" w:lineRule="auto"/>
        <w:ind w:firstLine="480" w:firstLineChars="200"/>
        <w:outlineLvl w:val="1"/>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另册</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bidi="ar-SA"/>
        </w:rPr>
        <w:t>5</w:t>
      </w:r>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w:t>
      </w:r>
      <w:r>
        <w:rPr>
          <w:rFonts w:hint="eastAsia"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年</w:t>
      </w:r>
      <w:r>
        <w:rPr>
          <w:rFonts w:hint="eastAsia" w:cs="Times New Roman"/>
          <w:color w:val="000000"/>
          <w:sz w:val="24"/>
          <w:szCs w:val="24"/>
          <w:u w:val="single"/>
          <w:lang w:val="en-US" w:eastAsia="zh-CN"/>
        </w:rPr>
        <w:t>1</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07</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17</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1263635487</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逾期无效。采购人在收到响应回执后根据供应商信用信誉等情况进行讨论提议，不再另行发布采购公告。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bookmarkStart w:id="0" w:name="_Toc332965960"/>
      <w:bookmarkStart w:id="1" w:name="_Toc332793891"/>
      <w:bookmarkStart w:id="2" w:name="_Toc332793818"/>
      <w:r>
        <w:rPr>
          <w:rFonts w:hint="eastAsia" w:cs="Times New Roman"/>
          <w:b/>
          <w:snapToGrid w:val="0"/>
          <w:kern w:val="0"/>
          <w:sz w:val="24"/>
          <w:szCs w:val="24"/>
          <w:lang w:val="en-US" w:eastAsia="zh-CN" w:bidi="ar-SA"/>
        </w:rPr>
        <w:t>6</w:t>
      </w:r>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梁</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年</w:t>
      </w:r>
      <w:r>
        <w:rPr>
          <w:rFonts w:hint="eastAsia" w:cs="Times New Roman"/>
          <w:color w:val="000000"/>
          <w:sz w:val="24"/>
          <w:szCs w:val="24"/>
          <w:lang w:val="en-US" w:eastAsia="zh-CN"/>
        </w:rPr>
        <w:t>1</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日</w:t>
      </w:r>
    </w:p>
    <w:sectPr>
      <w:pgSz w:w="11906" w:h="16838"/>
      <w:pgMar w:top="986" w:right="1800" w:bottom="93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C06D5F"/>
    <w:multiLevelType w:val="singleLevel"/>
    <w:tmpl w:val="CEC06D5F"/>
    <w:lvl w:ilvl="0" w:tentative="0">
      <w:start w:val="1"/>
      <w:numFmt w:val="decimal"/>
      <w:suff w:val="nothing"/>
      <w:lvlText w:val="（%1）"/>
      <w:lvlJc w:val="left"/>
    </w:lvl>
  </w:abstractNum>
  <w:abstractNum w:abstractNumId="1">
    <w:nsid w:val="F2720294"/>
    <w:multiLevelType w:val="singleLevel"/>
    <w:tmpl w:val="F2720294"/>
    <w:lvl w:ilvl="0" w:tentative="0">
      <w:start w:val="4"/>
      <w:numFmt w:val="decimal"/>
      <w:lvlText w:val="%1."/>
      <w:lvlJc w:val="left"/>
      <w:pPr>
        <w:tabs>
          <w:tab w:val="left" w:pos="312"/>
        </w:tabs>
      </w:pPr>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2"/>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3"/>
      <w:suff w:val="nothing"/>
      <w:lvlText w:val="%1.%2.%3 "/>
      <w:lvlJc w:val="left"/>
      <w:pPr>
        <w:ind w:left="142" w:firstLine="0"/>
      </w:pPr>
    </w:lvl>
    <w:lvl w:ilvl="3" w:tentative="0">
      <w:start w:val="1"/>
      <w:numFmt w:val="decimal"/>
      <w:lvlRestart w:val="1"/>
      <w:pStyle w:val="4"/>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5"/>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3393105"/>
    <w:rsid w:val="03563CB7"/>
    <w:rsid w:val="03BE77F9"/>
    <w:rsid w:val="046B1D8B"/>
    <w:rsid w:val="046E3765"/>
    <w:rsid w:val="05D76CA1"/>
    <w:rsid w:val="05FC2DA4"/>
    <w:rsid w:val="06622CB2"/>
    <w:rsid w:val="06A411DD"/>
    <w:rsid w:val="072D08E0"/>
    <w:rsid w:val="083A6841"/>
    <w:rsid w:val="08CF1E16"/>
    <w:rsid w:val="08EE3671"/>
    <w:rsid w:val="09117B80"/>
    <w:rsid w:val="09293C1C"/>
    <w:rsid w:val="092A167C"/>
    <w:rsid w:val="095E1615"/>
    <w:rsid w:val="0A310FDA"/>
    <w:rsid w:val="0A634ED8"/>
    <w:rsid w:val="0A69025B"/>
    <w:rsid w:val="0AB539B9"/>
    <w:rsid w:val="0B867103"/>
    <w:rsid w:val="0C397098"/>
    <w:rsid w:val="0DA26991"/>
    <w:rsid w:val="0E3A4B3B"/>
    <w:rsid w:val="0ECB4993"/>
    <w:rsid w:val="112A7044"/>
    <w:rsid w:val="123D1FC9"/>
    <w:rsid w:val="127F2BCB"/>
    <w:rsid w:val="12ED5CBA"/>
    <w:rsid w:val="140B63F8"/>
    <w:rsid w:val="142F0FB1"/>
    <w:rsid w:val="14C447F8"/>
    <w:rsid w:val="156452D7"/>
    <w:rsid w:val="15983E83"/>
    <w:rsid w:val="176F6C9D"/>
    <w:rsid w:val="17936E30"/>
    <w:rsid w:val="179D22A5"/>
    <w:rsid w:val="185145F5"/>
    <w:rsid w:val="18606150"/>
    <w:rsid w:val="18E02F28"/>
    <w:rsid w:val="19B32EC3"/>
    <w:rsid w:val="19EC0A79"/>
    <w:rsid w:val="1A786886"/>
    <w:rsid w:val="1C654B13"/>
    <w:rsid w:val="1CC7757C"/>
    <w:rsid w:val="1D5379E4"/>
    <w:rsid w:val="1DC008E5"/>
    <w:rsid w:val="1DD86320"/>
    <w:rsid w:val="1EFF5193"/>
    <w:rsid w:val="1F3E25C9"/>
    <w:rsid w:val="1F8905C9"/>
    <w:rsid w:val="1F9A0F77"/>
    <w:rsid w:val="1FEF3071"/>
    <w:rsid w:val="20205D7D"/>
    <w:rsid w:val="2031368A"/>
    <w:rsid w:val="2039362C"/>
    <w:rsid w:val="23A93537"/>
    <w:rsid w:val="24875F4B"/>
    <w:rsid w:val="25D6438C"/>
    <w:rsid w:val="25E92311"/>
    <w:rsid w:val="26445799"/>
    <w:rsid w:val="28126A09"/>
    <w:rsid w:val="29325D7D"/>
    <w:rsid w:val="29B42C36"/>
    <w:rsid w:val="2A6117E0"/>
    <w:rsid w:val="2A8940C2"/>
    <w:rsid w:val="2A9C2048"/>
    <w:rsid w:val="2AD229EB"/>
    <w:rsid w:val="2B5411B0"/>
    <w:rsid w:val="2B975488"/>
    <w:rsid w:val="2BB05A29"/>
    <w:rsid w:val="2BBE1469"/>
    <w:rsid w:val="2CDE1CDD"/>
    <w:rsid w:val="2D393A69"/>
    <w:rsid w:val="2E0860D1"/>
    <w:rsid w:val="2E402CEA"/>
    <w:rsid w:val="2E5A20BA"/>
    <w:rsid w:val="2E7A2000"/>
    <w:rsid w:val="2ECB5FE2"/>
    <w:rsid w:val="31F44517"/>
    <w:rsid w:val="337322A8"/>
    <w:rsid w:val="33923E93"/>
    <w:rsid w:val="33D53A32"/>
    <w:rsid w:val="34403FA4"/>
    <w:rsid w:val="34DB5F68"/>
    <w:rsid w:val="35912415"/>
    <w:rsid w:val="371778DF"/>
    <w:rsid w:val="37E62326"/>
    <w:rsid w:val="38A511DA"/>
    <w:rsid w:val="39056DD9"/>
    <w:rsid w:val="3A1B67E7"/>
    <w:rsid w:val="3A7D6982"/>
    <w:rsid w:val="3C047712"/>
    <w:rsid w:val="3C996FEB"/>
    <w:rsid w:val="3CCC5DA0"/>
    <w:rsid w:val="3CD77495"/>
    <w:rsid w:val="3D4445A5"/>
    <w:rsid w:val="3DC27043"/>
    <w:rsid w:val="3DD1395F"/>
    <w:rsid w:val="3DD51301"/>
    <w:rsid w:val="3E8C010F"/>
    <w:rsid w:val="3EFD65C9"/>
    <w:rsid w:val="400E2C48"/>
    <w:rsid w:val="403A795B"/>
    <w:rsid w:val="4044389B"/>
    <w:rsid w:val="40C03B09"/>
    <w:rsid w:val="42100EF9"/>
    <w:rsid w:val="42474B43"/>
    <w:rsid w:val="42925DB2"/>
    <w:rsid w:val="42D40179"/>
    <w:rsid w:val="434B112E"/>
    <w:rsid w:val="443D1A3B"/>
    <w:rsid w:val="4504286C"/>
    <w:rsid w:val="46C97C03"/>
    <w:rsid w:val="471A188F"/>
    <w:rsid w:val="472B5FAC"/>
    <w:rsid w:val="48AD79E8"/>
    <w:rsid w:val="48F03340"/>
    <w:rsid w:val="49032DD0"/>
    <w:rsid w:val="4908486B"/>
    <w:rsid w:val="49B06B1E"/>
    <w:rsid w:val="49DC5C4D"/>
    <w:rsid w:val="4A44006F"/>
    <w:rsid w:val="4B3450B1"/>
    <w:rsid w:val="4BFB311F"/>
    <w:rsid w:val="4C7148A9"/>
    <w:rsid w:val="4D41787A"/>
    <w:rsid w:val="4DA31AFF"/>
    <w:rsid w:val="4DB34E2F"/>
    <w:rsid w:val="4DB87F36"/>
    <w:rsid w:val="4E082D04"/>
    <w:rsid w:val="50DE6FEF"/>
    <w:rsid w:val="513444D8"/>
    <w:rsid w:val="515756D7"/>
    <w:rsid w:val="52871060"/>
    <w:rsid w:val="52ED4007"/>
    <w:rsid w:val="54210D44"/>
    <w:rsid w:val="54227B28"/>
    <w:rsid w:val="55A27C63"/>
    <w:rsid w:val="55A710AE"/>
    <w:rsid w:val="55B35218"/>
    <w:rsid w:val="560F1B9D"/>
    <w:rsid w:val="576320A6"/>
    <w:rsid w:val="57BF2D4E"/>
    <w:rsid w:val="58B74CBC"/>
    <w:rsid w:val="59387A89"/>
    <w:rsid w:val="598A3C77"/>
    <w:rsid w:val="5B2814D9"/>
    <w:rsid w:val="5CF56323"/>
    <w:rsid w:val="5D4D1D73"/>
    <w:rsid w:val="5D972077"/>
    <w:rsid w:val="5E8E770E"/>
    <w:rsid w:val="623B7383"/>
    <w:rsid w:val="63166D1A"/>
    <w:rsid w:val="65922BE0"/>
    <w:rsid w:val="65CA5E8C"/>
    <w:rsid w:val="65CF770C"/>
    <w:rsid w:val="680622D3"/>
    <w:rsid w:val="6AC87D14"/>
    <w:rsid w:val="6ACF7141"/>
    <w:rsid w:val="6AF27A26"/>
    <w:rsid w:val="6B2D401B"/>
    <w:rsid w:val="6B686E01"/>
    <w:rsid w:val="6C083654"/>
    <w:rsid w:val="6C094604"/>
    <w:rsid w:val="6C751B3B"/>
    <w:rsid w:val="6DC37643"/>
    <w:rsid w:val="6E182D60"/>
    <w:rsid w:val="6E354925"/>
    <w:rsid w:val="6E4A295F"/>
    <w:rsid w:val="6EAE5472"/>
    <w:rsid w:val="6EC41DCE"/>
    <w:rsid w:val="6ED924EF"/>
    <w:rsid w:val="6FE03650"/>
    <w:rsid w:val="70327008"/>
    <w:rsid w:val="70926DFA"/>
    <w:rsid w:val="710B2708"/>
    <w:rsid w:val="724471CD"/>
    <w:rsid w:val="72C12E0D"/>
    <w:rsid w:val="734653CB"/>
    <w:rsid w:val="74963E13"/>
    <w:rsid w:val="75292AD1"/>
    <w:rsid w:val="7553467E"/>
    <w:rsid w:val="760D37CC"/>
    <w:rsid w:val="76BB6B1C"/>
    <w:rsid w:val="777C4360"/>
    <w:rsid w:val="79870010"/>
    <w:rsid w:val="79E2018B"/>
    <w:rsid w:val="7A7C5C95"/>
    <w:rsid w:val="7B3B62E0"/>
    <w:rsid w:val="7C7F737F"/>
    <w:rsid w:val="7CF20C20"/>
    <w:rsid w:val="7DA154A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8"/>
    <w:autoRedefine/>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3">
    <w:name w:val="heading 3"/>
    <w:basedOn w:val="1"/>
    <w:next w:val="1"/>
    <w:link w:val="19"/>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4">
    <w:name w:val="heading 4"/>
    <w:basedOn w:val="1"/>
    <w:next w:val="1"/>
    <w:link w:val="20"/>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5">
    <w:name w:val="heading 5"/>
    <w:basedOn w:val="1"/>
    <w:next w:val="1"/>
    <w:link w:val="21"/>
    <w:autoRedefine/>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99"/>
    <w:pPr>
      <w:ind w:firstLine="420" w:firstLineChars="200"/>
    </w:pPr>
  </w:style>
  <w:style w:type="paragraph" w:styleId="7">
    <w:name w:val="Body Text"/>
    <w:basedOn w:val="1"/>
    <w:autoRedefine/>
    <w:unhideWhenUsed/>
    <w:qFormat/>
    <w:uiPriority w:val="99"/>
    <w:pPr>
      <w:spacing w:line="480" w:lineRule="auto"/>
      <w:jc w:val="center"/>
    </w:pPr>
    <w:rPr>
      <w:rFonts w:ascii="宋体"/>
      <w:b/>
      <w:sz w:val="72"/>
      <w:szCs w:val="20"/>
    </w:rPr>
  </w:style>
  <w:style w:type="paragraph" w:styleId="8">
    <w:name w:val="Body Text Indent"/>
    <w:basedOn w:val="1"/>
    <w:autoRedefine/>
    <w:qFormat/>
    <w:uiPriority w:val="0"/>
    <w:pPr>
      <w:spacing w:after="120"/>
      <w:ind w:left="420" w:leftChars="200"/>
    </w:pPr>
    <w:rPr>
      <w:lang w:val="zh-CN"/>
    </w:rPr>
  </w:style>
  <w:style w:type="paragraph" w:styleId="9">
    <w:name w:val="Plain Text"/>
    <w:basedOn w:val="1"/>
    <w:next w:val="1"/>
    <w:autoRedefine/>
    <w:qFormat/>
    <w:uiPriority w:val="0"/>
    <w:rPr>
      <w:rFonts w:ascii="宋体" w:hAnsi="Courier New"/>
      <w:szCs w:val="20"/>
    </w:rPr>
  </w:style>
  <w:style w:type="paragraph" w:styleId="10">
    <w:name w:val="Balloon Text"/>
    <w:basedOn w:val="1"/>
    <w:link w:val="40"/>
    <w:autoRedefine/>
    <w:qFormat/>
    <w:uiPriority w:val="0"/>
    <w:rPr>
      <w:sz w:val="18"/>
      <w:szCs w:val="18"/>
    </w:rPr>
  </w:style>
  <w:style w:type="paragraph" w:styleId="11">
    <w:name w:val="footer"/>
    <w:basedOn w:val="1"/>
    <w:link w:val="17"/>
    <w:autoRedefine/>
    <w:qFormat/>
    <w:uiPriority w:val="0"/>
    <w:pPr>
      <w:tabs>
        <w:tab w:val="center" w:pos="4153"/>
        <w:tab w:val="right" w:pos="8306"/>
      </w:tabs>
      <w:snapToGrid w:val="0"/>
      <w:jc w:val="left"/>
    </w:pPr>
    <w:rPr>
      <w:sz w:val="18"/>
      <w:szCs w:val="18"/>
    </w:rPr>
  </w:style>
  <w:style w:type="paragraph" w:styleId="12">
    <w:name w:val="header"/>
    <w:basedOn w:val="1"/>
    <w:link w:val="16"/>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2"/>
    <w:basedOn w:val="8"/>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character" w:customStyle="1" w:styleId="16">
    <w:name w:val="页眉 Char"/>
    <w:basedOn w:val="15"/>
    <w:link w:val="12"/>
    <w:autoRedefine/>
    <w:qFormat/>
    <w:uiPriority w:val="0"/>
    <w:rPr>
      <w:kern w:val="2"/>
      <w:sz w:val="18"/>
      <w:szCs w:val="18"/>
    </w:rPr>
  </w:style>
  <w:style w:type="character" w:customStyle="1" w:styleId="17">
    <w:name w:val="页脚 Char"/>
    <w:basedOn w:val="15"/>
    <w:link w:val="11"/>
    <w:autoRedefine/>
    <w:qFormat/>
    <w:uiPriority w:val="0"/>
    <w:rPr>
      <w:kern w:val="2"/>
      <w:sz w:val="18"/>
      <w:szCs w:val="18"/>
    </w:rPr>
  </w:style>
  <w:style w:type="character" w:customStyle="1" w:styleId="18">
    <w:name w:val="标题 2 Char"/>
    <w:basedOn w:val="15"/>
    <w:link w:val="2"/>
    <w:autoRedefine/>
    <w:qFormat/>
    <w:uiPriority w:val="0"/>
    <w:rPr>
      <w:rFonts w:ascii="Book Antiqua" w:hAnsi="Book Antiqua" w:eastAsia="黑体" w:cs="Book Antiqua"/>
      <w:bCs/>
      <w:sz w:val="36"/>
      <w:szCs w:val="36"/>
      <w:lang w:eastAsia="en-US"/>
    </w:rPr>
  </w:style>
  <w:style w:type="character" w:customStyle="1" w:styleId="19">
    <w:name w:val="标题 3 Char"/>
    <w:basedOn w:val="15"/>
    <w:link w:val="3"/>
    <w:autoRedefine/>
    <w:qFormat/>
    <w:uiPriority w:val="0"/>
    <w:rPr>
      <w:rFonts w:ascii="Book Antiqua" w:hAnsi="Book Antiqua" w:eastAsia="黑体" w:cs="宋体"/>
      <w:sz w:val="32"/>
      <w:szCs w:val="32"/>
    </w:rPr>
  </w:style>
  <w:style w:type="character" w:customStyle="1" w:styleId="20">
    <w:name w:val="标题 4 Char"/>
    <w:basedOn w:val="15"/>
    <w:link w:val="4"/>
    <w:autoRedefine/>
    <w:qFormat/>
    <w:uiPriority w:val="0"/>
    <w:rPr>
      <w:rFonts w:ascii="Book Antiqua" w:hAnsi="Book Antiqua" w:eastAsia="黑体" w:cs="宋体"/>
      <w:sz w:val="28"/>
      <w:szCs w:val="28"/>
    </w:rPr>
  </w:style>
  <w:style w:type="character" w:customStyle="1" w:styleId="21">
    <w:name w:val="标题 5 Char"/>
    <w:basedOn w:val="15"/>
    <w:link w:val="5"/>
    <w:autoRedefine/>
    <w:qFormat/>
    <w:uiPriority w:val="0"/>
    <w:rPr>
      <w:rFonts w:ascii="Book Antiqua" w:hAnsi="Book Antiqua" w:eastAsia="黑体" w:cs="宋体"/>
      <w:sz w:val="24"/>
      <w:szCs w:val="24"/>
    </w:rPr>
  </w:style>
  <w:style w:type="paragraph" w:styleId="22">
    <w:name w:val="List Paragraph"/>
    <w:basedOn w:val="1"/>
    <w:link w:val="23"/>
    <w:autoRedefine/>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autoRedefine/>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autoRedefine/>
    <w:qFormat/>
    <w:uiPriority w:val="0"/>
    <w:rPr>
      <w:rFonts w:cs="Arial"/>
      <w:bCs/>
      <w:szCs w:val="28"/>
    </w:rPr>
  </w:style>
  <w:style w:type="paragraph" w:customStyle="1" w:styleId="25">
    <w:name w:val="Item Step in table"/>
    <w:basedOn w:val="5"/>
    <w:link w:val="24"/>
    <w:autoRedefine/>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autoRedefine/>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autoRedefine/>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autoRedefine/>
    <w:qFormat/>
    <w:uiPriority w:val="0"/>
    <w:rPr>
      <w:rFonts w:cs="Arial"/>
      <w:szCs w:val="21"/>
    </w:rPr>
  </w:style>
  <w:style w:type="paragraph" w:customStyle="1" w:styleId="29">
    <w:name w:val="Table Text"/>
    <w:basedOn w:val="1"/>
    <w:link w:val="28"/>
    <w:autoRedefine/>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autoRedefine/>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autoRedefine/>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autoRedefin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autoRedefine/>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autoRedefine/>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autoRedefine/>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autoRedefine/>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autoRedefin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autoRedefine/>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5"/>
    <w:link w:val="10"/>
    <w:autoRedefine/>
    <w:qFormat/>
    <w:uiPriority w:val="0"/>
    <w:rPr>
      <w:kern w:val="2"/>
      <w:sz w:val="18"/>
      <w:szCs w:val="18"/>
    </w:rPr>
  </w:style>
  <w:style w:type="paragraph" w:customStyle="1" w:styleId="41">
    <w:name w:val="样式 宋体 小四 行距: 1.5 倍行距 首行缩进:  2 字符"/>
    <w:basedOn w:val="1"/>
    <w:autoRedefine/>
    <w:qFormat/>
    <w:uiPriority w:val="99"/>
    <w:pPr>
      <w:spacing w:line="360" w:lineRule="auto"/>
      <w:ind w:firstLine="480" w:firstLineChars="200"/>
    </w:pPr>
    <w:rPr>
      <w:rFonts w:ascii="Times New Roman" w:hAnsi="Times New Roman" w:cs="宋体"/>
    </w:rPr>
  </w:style>
  <w:style w:type="character" w:customStyle="1" w:styleId="42">
    <w:name w:val="font21"/>
    <w:basedOn w:val="15"/>
    <w:autoRedefine/>
    <w:qFormat/>
    <w:uiPriority w:val="0"/>
    <w:rPr>
      <w:rFonts w:hint="eastAsia" w:ascii="宋体" w:hAnsi="宋体" w:eastAsia="宋体" w:cs="宋体"/>
      <w:color w:val="000000"/>
      <w:sz w:val="20"/>
      <w:szCs w:val="20"/>
      <w:u w:val="none"/>
    </w:rPr>
  </w:style>
  <w:style w:type="character" w:customStyle="1" w:styleId="43">
    <w:name w:val="font31"/>
    <w:basedOn w:val="15"/>
    <w:autoRedefine/>
    <w:qFormat/>
    <w:uiPriority w:val="0"/>
    <w:rPr>
      <w:rFonts w:hint="default" w:ascii="Times New Roman" w:hAnsi="Times New Roman" w:cs="Times New Roman"/>
      <w:color w:val="000000"/>
      <w:sz w:val="20"/>
      <w:szCs w:val="20"/>
      <w:u w:val="none"/>
    </w:rPr>
  </w:style>
  <w:style w:type="character" w:customStyle="1" w:styleId="44">
    <w:name w:val="font41"/>
    <w:basedOn w:val="15"/>
    <w:autoRedefine/>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452</Words>
  <Characters>569</Characters>
  <Lines>61</Lines>
  <Paragraphs>17</Paragraphs>
  <TotalTime>9</TotalTime>
  <ScaleCrop>false</ScaleCrop>
  <LinksUpToDate>false</LinksUpToDate>
  <CharactersWithSpaces>627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2023-11-29T06:10:00Z</cp:lastPrinted>
  <dcterms:modified xsi:type="dcterms:W3CDTF">2024-01-04T03:37:19Z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B75484C30A0D48A998196F431A9A3E69</vt:lpwstr>
  </property>
</Properties>
</file>