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广东省珠海市香海大桥（含支线工程）机电工程建养一体化施工LED信息显示屏、车道折叠屏</w:t>
      </w:r>
      <w:r>
        <w:rPr>
          <w:rFonts w:hint="default" w:ascii="Times New Roman" w:hAnsi="Times New Roman" w:eastAsia="宋体" w:cs="Times New Roman"/>
          <w:b/>
          <w:color w:val="000000"/>
          <w:sz w:val="30"/>
          <w:szCs w:val="30"/>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1.1项目名称：广东省珠海市香海大桥（含支线工程）机电工程建养一体化施工</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1650"/>
        <w:gridCol w:w="2717"/>
        <w:gridCol w:w="816"/>
        <w:gridCol w:w="800"/>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6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27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16"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41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78"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r>
              <w:rPr>
                <w:rFonts w:hint="eastAsia" w:eastAsiaTheme="minorEastAsia"/>
                <w:color w:val="000000"/>
                <w:szCs w:val="21"/>
                <w:lang w:val="en-US" w:eastAsia="zh-CN"/>
              </w:rPr>
              <w:t>1</w:t>
            </w:r>
          </w:p>
        </w:tc>
        <w:tc>
          <w:tcPr>
            <w:tcW w:w="1650"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r>
              <w:rPr>
                <w:rFonts w:hint="eastAsia" w:eastAsiaTheme="minorEastAsia"/>
                <w:color w:val="000000"/>
                <w:szCs w:val="21"/>
                <w:lang w:val="en-US" w:eastAsia="zh-CN"/>
              </w:rPr>
              <w:t>LED信息显示屏</w:t>
            </w:r>
          </w:p>
        </w:tc>
        <w:tc>
          <w:tcPr>
            <w:tcW w:w="2717"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r>
              <w:rPr>
                <w:rFonts w:hint="eastAsia" w:eastAsiaTheme="minorEastAsia"/>
                <w:color w:val="000000"/>
                <w:szCs w:val="21"/>
                <w:lang w:val="en-US" w:eastAsia="zh-CN"/>
              </w:rPr>
              <w:t>套</w:t>
            </w:r>
          </w:p>
        </w:tc>
        <w:tc>
          <w:tcPr>
            <w:tcW w:w="800"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r>
              <w:rPr>
                <w:rFonts w:hint="eastAsia" w:eastAsiaTheme="minorEastAsia"/>
                <w:color w:val="000000"/>
                <w:szCs w:val="21"/>
                <w:lang w:val="en-US" w:eastAsia="zh-CN"/>
              </w:rPr>
              <w:t>4</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78" w:type="dxa"/>
            <w:shd w:val="clear" w:color="auto" w:fill="auto"/>
            <w:vAlign w:val="center"/>
          </w:tcPr>
          <w:p>
            <w:pPr>
              <w:widowControl/>
              <w:spacing w:line="240" w:lineRule="auto"/>
              <w:jc w:val="center"/>
              <w:rPr>
                <w:rFonts w:hint="eastAsia" w:ascii="Times New Roman" w:hAnsi="Times New Roman" w:eastAsia="宋体" w:cs="Times New Roman"/>
                <w:sz w:val="21"/>
                <w:szCs w:val="21"/>
                <w:lang w:val="en-US" w:eastAsia="zh-CN"/>
              </w:rPr>
            </w:pPr>
            <w:r>
              <w:rPr>
                <w:rFonts w:hint="eastAsia" w:eastAsiaTheme="minorEastAsia"/>
                <w:color w:val="000000"/>
                <w:szCs w:val="21"/>
                <w:lang w:val="en-US" w:eastAsia="zh-CN"/>
              </w:rPr>
              <w:t>2</w:t>
            </w:r>
          </w:p>
        </w:tc>
        <w:tc>
          <w:tcPr>
            <w:tcW w:w="1650" w:type="dxa"/>
            <w:shd w:val="clear" w:color="auto" w:fill="auto"/>
            <w:vAlign w:val="center"/>
          </w:tcPr>
          <w:p>
            <w:pPr>
              <w:widowControl/>
              <w:spacing w:line="240" w:lineRule="auto"/>
              <w:jc w:val="center"/>
              <w:rPr>
                <w:rFonts w:hint="eastAsia" w:ascii="Times New Roman" w:hAnsi="Times New Roman" w:eastAsia="宋体" w:cs="Times New Roman"/>
                <w:sz w:val="21"/>
                <w:szCs w:val="21"/>
                <w:lang w:val="en-US" w:eastAsia="zh-CN"/>
              </w:rPr>
            </w:pPr>
            <w:r>
              <w:rPr>
                <w:rFonts w:hint="eastAsia" w:eastAsiaTheme="minorEastAsia"/>
                <w:color w:val="000000"/>
                <w:szCs w:val="21"/>
                <w:lang w:val="en-US" w:eastAsia="zh-CN"/>
              </w:rPr>
              <w:t>车道折叠屏</w:t>
            </w:r>
          </w:p>
        </w:tc>
        <w:tc>
          <w:tcPr>
            <w:tcW w:w="2717" w:type="dxa"/>
            <w:shd w:val="clear" w:color="auto" w:fill="auto"/>
            <w:vAlign w:val="center"/>
          </w:tcPr>
          <w:p>
            <w:pPr>
              <w:widowControl/>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widowControl/>
              <w:spacing w:line="240" w:lineRule="auto"/>
              <w:jc w:val="center"/>
              <w:rPr>
                <w:rFonts w:hint="eastAsia" w:ascii="Times New Roman" w:hAnsi="Times New Roman" w:eastAsia="宋体" w:cs="Times New Roman"/>
                <w:sz w:val="21"/>
                <w:szCs w:val="21"/>
                <w:lang w:val="en-US" w:eastAsia="zh-CN"/>
              </w:rPr>
            </w:pPr>
            <w:r>
              <w:rPr>
                <w:rFonts w:hint="eastAsia" w:eastAsiaTheme="minorEastAsia"/>
                <w:color w:val="000000"/>
                <w:szCs w:val="21"/>
                <w:lang w:val="en-US" w:eastAsia="zh-CN"/>
              </w:rPr>
              <w:t>套</w:t>
            </w:r>
          </w:p>
        </w:tc>
        <w:tc>
          <w:tcPr>
            <w:tcW w:w="800" w:type="dxa"/>
            <w:shd w:val="clear" w:color="auto" w:fill="auto"/>
            <w:vAlign w:val="center"/>
          </w:tcPr>
          <w:p>
            <w:pPr>
              <w:widowControl/>
              <w:spacing w:line="240" w:lineRule="auto"/>
              <w:jc w:val="center"/>
              <w:rPr>
                <w:rFonts w:hint="eastAsia" w:ascii="Times New Roman" w:hAnsi="Times New Roman" w:eastAsia="宋体" w:cs="Times New Roman"/>
                <w:sz w:val="21"/>
                <w:szCs w:val="21"/>
                <w:lang w:val="en-US" w:eastAsia="zh-CN"/>
              </w:rPr>
            </w:pPr>
            <w:r>
              <w:rPr>
                <w:rFonts w:hint="eastAsia" w:eastAsiaTheme="minorEastAsia"/>
                <w:color w:val="000000"/>
                <w:szCs w:val="21"/>
                <w:lang w:val="en-US" w:eastAsia="zh-CN"/>
              </w:rPr>
              <w:t>18</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654594.00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wordWrap w:val="0"/>
        <w:spacing w:line="240" w:lineRule="auto"/>
        <w:rPr>
          <w:rFonts w:hint="eastAsia" w:eastAsiaTheme="minorEastAsia"/>
          <w:b/>
          <w:bCs w:val="0"/>
          <w:sz w:val="21"/>
          <w:szCs w:val="21"/>
          <w:lang w:val="en-US" w:eastAsia="zh-CN"/>
        </w:rPr>
      </w:pPr>
      <w:r>
        <w:rPr>
          <w:rFonts w:hint="default" w:eastAsiaTheme="minorEastAsia"/>
          <w:b/>
          <w:bCs w:val="0"/>
          <w:sz w:val="21"/>
          <w:szCs w:val="21"/>
          <w:lang w:val="en-US" w:eastAsia="zh-CN"/>
        </w:rPr>
        <w:t>LED信息显示屏</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—悬臂式可变情报板显示面积 3.5m（宽）×2m（高），分辨率224×128，可显示中文、英文及简单图形图片；</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可变情报板显示内容昼夜清楚可见，包括在太阳光直射条件下，静态视认距离不小于250m，动态视认距离不小于210m（车速100km/h）,保证大卡车司机及小汽车司机均能清晰辨认且应保证可变情报板的安全，不易损坏，并可抵御40m/s的风速；</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—主要技术指标如下：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—产品特点：透风不透光，轻量化 LED 屏；</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—可变情报板由可拆卸 LED 显示模块组成，整屏尺寸根据应用场景灵活组合；</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—屏体由铝合金灯条及全封闭铝合金电源盒组成，灯条自带透风不透光结构，可以自然散热；</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—像素点间距：15.625mm，像素管具有防水、防尘、防腐蚀的野外型组件结构，采用静态驱动方式，具有过流保护功能；</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—可变情报板模块均为全彩色显示，每个像素由红、绿、蓝三种 LED 组成，配比为 1R1G1B；</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—屏体重量：≤25KG/平方米；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—屏体厚度：≤70MM；</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—屏体亮度：≥8000cd/㎡，亮度可手动或自动进行100级调节；</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—屏幕白平衡亮度达到8000cd/㎡时，用电功率≤130W/㎡；</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—显示屏整屏亮度均匀度≥95%；</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—整屏视认角≥30°；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—显示模块内各像素点间距允许误差 1mm，不平整度≤2mm/㎡；</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—像素的年失控率≤1‰，离散型；</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—产品整体 MTBF≥30,000h；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—控制方式：文字方式通过控制软件发布，可支持 PC/工作站控制；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—工作电压：AC220V±20%；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 xml:space="preserve">—工作环境温度：-20℃～50℃； </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—工作环境湿度：10%～90%；</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—前后防护等级：≥IP65。抗风速 40m/s；</w:t>
      </w:r>
    </w:p>
    <w:p>
      <w:pPr>
        <w:wordWrap w:val="0"/>
        <w:spacing w:line="240" w:lineRule="auto"/>
        <w:rPr>
          <w:rFonts w:hint="eastAsia" w:eastAsiaTheme="minorEastAsia"/>
          <w:b w:val="0"/>
          <w:bCs/>
          <w:sz w:val="21"/>
          <w:szCs w:val="21"/>
          <w:lang w:val="en-US" w:eastAsia="zh-CN"/>
        </w:rPr>
      </w:pPr>
      <w:r>
        <w:rPr>
          <w:rFonts w:hint="eastAsia" w:eastAsiaTheme="minorEastAsia"/>
          <w:b w:val="0"/>
          <w:bCs/>
          <w:sz w:val="21"/>
          <w:szCs w:val="21"/>
          <w:lang w:val="en-US" w:eastAsia="zh-CN"/>
        </w:rPr>
        <w:t>—通信方式：TCP/IP 网口通信接口、通信接口 RS232/RS485 高速串口、无线；</w:t>
      </w:r>
    </w:p>
    <w:p>
      <w:pPr>
        <w:wordWrap w:val="0"/>
        <w:spacing w:line="240" w:lineRule="auto"/>
        <w:rPr>
          <w:rFonts w:hint="eastAsia" w:eastAsiaTheme="minorEastAsia"/>
          <w:b w:val="0"/>
          <w:bCs/>
          <w:sz w:val="21"/>
          <w:szCs w:val="21"/>
          <w:lang w:val="en-US" w:eastAsia="zh-CN"/>
        </w:rPr>
      </w:pPr>
    </w:p>
    <w:p>
      <w:pPr>
        <w:wordWrap w:val="0"/>
        <w:spacing w:line="240" w:lineRule="auto"/>
        <w:rPr>
          <w:rFonts w:hint="default" w:eastAsiaTheme="minorEastAsia"/>
          <w:b/>
          <w:bCs w:val="0"/>
          <w:sz w:val="21"/>
          <w:szCs w:val="21"/>
          <w:lang w:val="en-US" w:eastAsia="zh-CN"/>
        </w:rPr>
      </w:pPr>
      <w:r>
        <w:rPr>
          <w:rFonts w:hint="default" w:eastAsiaTheme="minorEastAsia"/>
          <w:b/>
          <w:bCs w:val="0"/>
          <w:sz w:val="21"/>
          <w:szCs w:val="21"/>
          <w:lang w:val="en-US" w:eastAsia="zh-CN"/>
        </w:rPr>
        <w:t>车道折叠屏</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 xml:space="preserve">—产品特点：轻量化 LED 屏，采用透风不透光结构；  </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—屏体尺寸：2000MM宽*1000MM高；</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—屏体由铝合金灯条及全封闭铝合金电源盒组成，灯条自带透风不透光结构，可以自然散热；</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—点间距：15.625mm；</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—分辨率：128*64点；</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—显示屏发光像素由双基色发光二极管（LED） 组成，可显示红绿黄三色；</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—每套屏由上竖屏与折面屏（尺寸均为500mm高*2000mm宽）组成，上竖屏与水平面垂直，折面屏向后翻折角度约为30°；</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—驱动模式：静态恒流，具有过流保护功能；</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—显示屏亮度:≥8000cd/㎡；</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—显示屏发光亮度 100 级亮度可调；</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—显示屏整屏亮度均匀度≥95%；</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—整屏视认角≥30°；</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—显示模块内各像素点间距允许误差 1mm，不平整度≤2mm/m²；</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—像素的年失控率≤1‰，离散型；</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—整体重量：≤45KG；</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 xml:space="preserve">—屏体厚度：≤65mm； </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 xml:space="preserve">—工作电压：AC220V±20%； </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—工作环境温度：-20℃～50℃； 工作环境湿度：10%～90%；</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—前后防护等级：≥IP65；</w:t>
      </w:r>
    </w:p>
    <w:p>
      <w:pPr>
        <w:wordWrap w:val="0"/>
        <w:spacing w:line="240" w:lineRule="auto"/>
        <w:rPr>
          <w:rFonts w:hint="default" w:eastAsiaTheme="minorEastAsia"/>
          <w:b w:val="0"/>
          <w:bCs/>
          <w:sz w:val="21"/>
          <w:szCs w:val="21"/>
          <w:lang w:val="en-US" w:eastAsia="zh-CN"/>
        </w:rPr>
      </w:pPr>
      <w:r>
        <w:rPr>
          <w:rFonts w:hint="default" w:eastAsiaTheme="minorEastAsia"/>
          <w:b w:val="0"/>
          <w:bCs/>
          <w:sz w:val="21"/>
          <w:szCs w:val="21"/>
          <w:lang w:val="en-US" w:eastAsia="zh-CN"/>
        </w:rPr>
        <w:t>—通信方式：TCP/IP 网口通信接口。</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3" w:name="_GoBack"/>
      <w:bookmarkEnd w:id="3"/>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30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3111F49"/>
    <w:rsid w:val="24875F4B"/>
    <w:rsid w:val="25D6438C"/>
    <w:rsid w:val="25E92311"/>
    <w:rsid w:val="26445799"/>
    <w:rsid w:val="28126A09"/>
    <w:rsid w:val="29B42C36"/>
    <w:rsid w:val="2A6117E0"/>
    <w:rsid w:val="2A8940C2"/>
    <w:rsid w:val="2A9C2048"/>
    <w:rsid w:val="2AAF26B7"/>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92161EC"/>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504286C"/>
    <w:rsid w:val="45E8376F"/>
    <w:rsid w:val="46C97C03"/>
    <w:rsid w:val="471A188F"/>
    <w:rsid w:val="472B5FAC"/>
    <w:rsid w:val="483F34F7"/>
    <w:rsid w:val="48AD79E8"/>
    <w:rsid w:val="48F03340"/>
    <w:rsid w:val="4908486B"/>
    <w:rsid w:val="49B06B1E"/>
    <w:rsid w:val="49C254C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DD7326D"/>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EA947E6"/>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0</TotalTime>
  <ScaleCrop>false</ScaleCrop>
  <LinksUpToDate>false</LinksUpToDate>
  <CharactersWithSpaces>1864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2023-12-27T06:04:52Z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