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left="0" w:leftChars="0" w:firstLine="0" w:firstLineChars="0"/>
        <w:jc w:val="center"/>
        <w:textAlignment w:val="auto"/>
        <w:rPr>
          <w:rFonts w:hint="eastAsia" w:ascii="Times New Roman" w:hAnsi="Times New Roman" w:eastAsia="宋体" w:cs="Times New Roman"/>
          <w:b/>
          <w:color w:val="000000"/>
          <w:sz w:val="30"/>
          <w:szCs w:val="30"/>
          <w:lang w:val="en-US" w:eastAsia="zh-CN"/>
        </w:rPr>
      </w:pPr>
      <w:r>
        <w:rPr>
          <w:rFonts w:hint="eastAsia" w:cs="Times New Roman"/>
          <w:b/>
          <w:color w:val="000000"/>
          <w:sz w:val="30"/>
          <w:szCs w:val="30"/>
          <w:lang w:eastAsia="zh-CN"/>
        </w:rPr>
        <w:t>广州交投集团营运道路2023-2026年度机电养护综合管养项目</w:t>
      </w:r>
      <w:r>
        <w:rPr>
          <w:rFonts w:hint="eastAsia" w:cs="Times New Roman"/>
          <w:b/>
          <w:color w:val="000000"/>
          <w:sz w:val="30"/>
          <w:szCs w:val="30"/>
          <w:lang w:val="en-US" w:eastAsia="zh-CN"/>
        </w:rPr>
        <w:t>-机高、机二高、花莞高速路段便携式称重仪及隧道设备备件采购意向征集公告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项目概况</w:t>
      </w:r>
    </w:p>
    <w:p>
      <w:pPr>
        <w:wordWrap w:val="0"/>
        <w:topLinePunct/>
        <w:spacing w:line="360" w:lineRule="auto"/>
        <w:ind w:firstLine="566" w:firstLineChars="236"/>
        <w:rPr>
          <w:rFonts w:hint="eastAsia" w:ascii="Times New Roman" w:hAnsi="Times New Roman" w:eastAsia="宋体" w:cs="Times New Roman"/>
          <w:bCs/>
          <w:snapToGrid w:val="0"/>
          <w:kern w:val="0"/>
          <w:sz w:val="24"/>
          <w:szCs w:val="24"/>
          <w:lang w:val="en-US" w:eastAsia="zh-CN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1.1项目名称：</w:t>
      </w:r>
      <w:r>
        <w:rPr>
          <w:rFonts w:hint="eastAsia" w:ascii="Times New Roman" w:hAnsi="Times New Roman" w:eastAsia="宋体" w:cs="Times New Roman"/>
          <w:bCs/>
          <w:snapToGrid w:val="0"/>
          <w:kern w:val="0"/>
          <w:sz w:val="24"/>
          <w:szCs w:val="24"/>
          <w:lang w:eastAsia="zh-CN"/>
        </w:rPr>
        <w:t>广州交投集团营运道路2023-2026年度机电养护综合管养项目-</w:t>
      </w:r>
      <w:r>
        <w:rPr>
          <w:rFonts w:hint="eastAsia" w:ascii="Times New Roman" w:hAnsi="Times New Roman" w:eastAsia="宋体" w:cs="Times New Roman"/>
          <w:bCs/>
          <w:snapToGrid w:val="0"/>
          <w:kern w:val="0"/>
          <w:sz w:val="24"/>
          <w:szCs w:val="24"/>
          <w:lang w:val="en-US" w:eastAsia="zh-CN"/>
        </w:rPr>
        <w:t>机高、机二高、花莞高速路段便携式称重仪及隧道设备备件采购</w:t>
      </w:r>
    </w:p>
    <w:p>
      <w:p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1.2项目地点：广州市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具体工程量清单</w:t>
      </w:r>
    </w:p>
    <w:tbl>
      <w:tblPr>
        <w:tblStyle w:val="13"/>
        <w:tblW w:w="747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21"/>
        <w:gridCol w:w="1730"/>
        <w:gridCol w:w="1275"/>
        <w:gridCol w:w="885"/>
        <w:gridCol w:w="975"/>
        <w:gridCol w:w="119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3" w:hRule="atLeast"/>
          <w:jc w:val="center"/>
        </w:trPr>
        <w:tc>
          <w:tcPr>
            <w:tcW w:w="142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序号</w:t>
            </w:r>
          </w:p>
        </w:tc>
        <w:tc>
          <w:tcPr>
            <w:tcW w:w="173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材料</w:t>
            </w:r>
            <w:r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  <w:t>/设备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名称</w:t>
            </w: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lang w:val="en-US" w:eastAsia="zh-CN"/>
              </w:rPr>
              <w:t>品牌/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型号</w:t>
            </w:r>
          </w:p>
        </w:tc>
        <w:tc>
          <w:tcPr>
            <w:tcW w:w="88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单位</w:t>
            </w:r>
          </w:p>
        </w:tc>
        <w:tc>
          <w:tcPr>
            <w:tcW w:w="97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数量</w:t>
            </w:r>
          </w:p>
        </w:tc>
        <w:tc>
          <w:tcPr>
            <w:tcW w:w="119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421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cs="Times New Roman"/>
                <w:color w:val="000000"/>
                <w:sz w:val="18"/>
                <w:szCs w:val="18"/>
                <w:lang w:val="en-US" w:eastAsia="zh-CN"/>
              </w:rPr>
              <w:t>409-2-1-2-9-1</w:t>
            </w:r>
          </w:p>
        </w:tc>
        <w:tc>
          <w:tcPr>
            <w:tcW w:w="1730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cs="Times New Roman"/>
                <w:color w:val="000000"/>
                <w:sz w:val="18"/>
                <w:szCs w:val="18"/>
                <w:lang w:val="en-US" w:eastAsia="zh-CN"/>
              </w:rPr>
              <w:t>便携式称重仪</w:t>
            </w: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</w:pPr>
          </w:p>
        </w:tc>
        <w:tc>
          <w:tcPr>
            <w:tcW w:w="885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cs="Times New Roman"/>
                <w:color w:val="000000"/>
                <w:sz w:val="18"/>
                <w:szCs w:val="18"/>
                <w:lang w:val="en-US" w:eastAsia="zh-CN"/>
              </w:rPr>
              <w:t>套</w:t>
            </w:r>
          </w:p>
        </w:tc>
        <w:tc>
          <w:tcPr>
            <w:tcW w:w="975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cs="Times New Roman"/>
                <w:color w:val="000000"/>
                <w:sz w:val="18"/>
                <w:szCs w:val="18"/>
                <w:lang w:val="en-US" w:eastAsia="zh-CN"/>
              </w:rPr>
              <w:t>7</w:t>
            </w:r>
          </w:p>
        </w:tc>
        <w:tc>
          <w:tcPr>
            <w:tcW w:w="119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421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cs="Times New Roman"/>
                <w:color w:val="000000"/>
                <w:sz w:val="18"/>
                <w:szCs w:val="18"/>
                <w:lang w:val="en-US" w:eastAsia="zh-CN"/>
              </w:rPr>
              <w:t>409-2-6-4-2</w:t>
            </w:r>
          </w:p>
        </w:tc>
        <w:tc>
          <w:tcPr>
            <w:tcW w:w="1730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cs="Times New Roman"/>
                <w:color w:val="000000"/>
                <w:sz w:val="18"/>
                <w:szCs w:val="18"/>
                <w:lang w:val="en-US" w:eastAsia="zh-CN"/>
              </w:rPr>
              <w:t xml:space="preserve">紧急疏散标志 </w:t>
            </w: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</w:pPr>
          </w:p>
        </w:tc>
        <w:tc>
          <w:tcPr>
            <w:tcW w:w="885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cs="Times New Roman"/>
                <w:color w:val="000000"/>
                <w:sz w:val="18"/>
                <w:szCs w:val="18"/>
                <w:lang w:val="en-US" w:eastAsia="zh-CN"/>
              </w:rPr>
              <w:t>套</w:t>
            </w:r>
          </w:p>
        </w:tc>
        <w:tc>
          <w:tcPr>
            <w:tcW w:w="975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cs="Times New Roman"/>
                <w:color w:val="000000"/>
                <w:sz w:val="18"/>
                <w:szCs w:val="18"/>
                <w:lang w:val="en-US" w:eastAsia="zh-CN"/>
              </w:rPr>
              <w:t>5</w:t>
            </w:r>
          </w:p>
        </w:tc>
        <w:tc>
          <w:tcPr>
            <w:tcW w:w="119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421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cs="Times New Roman"/>
                <w:color w:val="000000"/>
                <w:sz w:val="18"/>
                <w:szCs w:val="18"/>
                <w:lang w:val="en-US" w:eastAsia="zh-CN"/>
              </w:rPr>
              <w:t>409-2-6-4-2</w:t>
            </w:r>
          </w:p>
        </w:tc>
        <w:tc>
          <w:tcPr>
            <w:tcW w:w="1730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cs="Times New Roman"/>
                <w:color w:val="000000"/>
                <w:sz w:val="18"/>
                <w:szCs w:val="18"/>
                <w:lang w:val="en-US" w:eastAsia="zh-CN"/>
              </w:rPr>
              <w:t xml:space="preserve">紧急电话标志 </w:t>
            </w: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</w:pPr>
          </w:p>
        </w:tc>
        <w:tc>
          <w:tcPr>
            <w:tcW w:w="885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cs="Times New Roman"/>
                <w:color w:val="000000"/>
                <w:sz w:val="18"/>
                <w:szCs w:val="18"/>
                <w:lang w:val="en-US" w:eastAsia="zh-CN"/>
              </w:rPr>
              <w:t>套</w:t>
            </w:r>
          </w:p>
        </w:tc>
        <w:tc>
          <w:tcPr>
            <w:tcW w:w="975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cs="Times New Roman"/>
                <w:color w:val="000000"/>
                <w:sz w:val="18"/>
                <w:szCs w:val="18"/>
                <w:lang w:val="en-US" w:eastAsia="zh-CN"/>
              </w:rPr>
              <w:t>5</w:t>
            </w:r>
          </w:p>
        </w:tc>
        <w:tc>
          <w:tcPr>
            <w:tcW w:w="119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421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cs="Times New Roman"/>
                <w:color w:val="000000"/>
                <w:sz w:val="18"/>
                <w:szCs w:val="18"/>
                <w:lang w:val="en-US" w:eastAsia="zh-CN"/>
              </w:rPr>
              <w:t>409-2-6-4-2</w:t>
            </w:r>
          </w:p>
        </w:tc>
        <w:tc>
          <w:tcPr>
            <w:tcW w:w="1730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cs="Times New Roman"/>
                <w:color w:val="000000"/>
                <w:sz w:val="18"/>
                <w:szCs w:val="18"/>
                <w:lang w:val="en-US" w:eastAsia="zh-CN"/>
              </w:rPr>
              <w:t>消防设备指示标志版面</w:t>
            </w: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</w:pPr>
          </w:p>
        </w:tc>
        <w:tc>
          <w:tcPr>
            <w:tcW w:w="885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cs="Times New Roman"/>
                <w:color w:val="000000"/>
                <w:sz w:val="18"/>
                <w:szCs w:val="18"/>
                <w:lang w:val="en-US" w:eastAsia="zh-CN"/>
              </w:rPr>
              <w:t>套</w:t>
            </w:r>
          </w:p>
        </w:tc>
        <w:tc>
          <w:tcPr>
            <w:tcW w:w="975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cs="Times New Roman"/>
                <w:color w:val="000000"/>
                <w:sz w:val="18"/>
                <w:szCs w:val="18"/>
                <w:lang w:val="en-US" w:eastAsia="zh-CN"/>
              </w:rPr>
              <w:t>5</w:t>
            </w:r>
          </w:p>
        </w:tc>
        <w:tc>
          <w:tcPr>
            <w:tcW w:w="119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421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cs="Times New Roman"/>
                <w:color w:val="000000"/>
                <w:sz w:val="18"/>
                <w:szCs w:val="18"/>
                <w:lang w:val="en-US" w:eastAsia="zh-CN"/>
              </w:rPr>
              <w:t>409-2-6-4-2</w:t>
            </w:r>
          </w:p>
        </w:tc>
        <w:tc>
          <w:tcPr>
            <w:tcW w:w="1730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cs="Times New Roman"/>
                <w:color w:val="000000"/>
                <w:sz w:val="18"/>
                <w:szCs w:val="18"/>
                <w:lang w:val="en-US" w:eastAsia="zh-CN"/>
              </w:rPr>
              <w:t>行人横洞指示标志版(向左）</w:t>
            </w: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</w:pPr>
          </w:p>
        </w:tc>
        <w:tc>
          <w:tcPr>
            <w:tcW w:w="885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cs="Times New Roman"/>
                <w:color w:val="000000"/>
                <w:sz w:val="18"/>
                <w:szCs w:val="18"/>
                <w:lang w:val="en-US" w:eastAsia="zh-CN"/>
              </w:rPr>
              <w:t>套</w:t>
            </w:r>
          </w:p>
        </w:tc>
        <w:tc>
          <w:tcPr>
            <w:tcW w:w="975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cs="Times New Roman"/>
                <w:color w:val="000000"/>
                <w:sz w:val="18"/>
                <w:szCs w:val="18"/>
                <w:lang w:val="en-US" w:eastAsia="zh-CN"/>
              </w:rPr>
              <w:t>2</w:t>
            </w:r>
          </w:p>
        </w:tc>
        <w:tc>
          <w:tcPr>
            <w:tcW w:w="119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421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cs="Times New Roman"/>
                <w:color w:val="000000"/>
                <w:sz w:val="18"/>
                <w:szCs w:val="18"/>
                <w:lang w:val="en-US" w:eastAsia="zh-CN"/>
              </w:rPr>
              <w:t>409-2-6-4-2</w:t>
            </w:r>
          </w:p>
        </w:tc>
        <w:tc>
          <w:tcPr>
            <w:tcW w:w="1730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cs="Times New Roman"/>
                <w:color w:val="000000"/>
                <w:sz w:val="18"/>
                <w:szCs w:val="18"/>
                <w:lang w:val="en-US" w:eastAsia="zh-CN"/>
              </w:rPr>
              <w:t>行人横洞指示标志版（向右）</w:t>
            </w: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</w:pPr>
          </w:p>
        </w:tc>
        <w:tc>
          <w:tcPr>
            <w:tcW w:w="885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cs="Times New Roman"/>
                <w:color w:val="000000"/>
                <w:sz w:val="18"/>
                <w:szCs w:val="18"/>
                <w:lang w:val="en-US" w:eastAsia="zh-CN"/>
              </w:rPr>
              <w:t>套</w:t>
            </w:r>
          </w:p>
        </w:tc>
        <w:tc>
          <w:tcPr>
            <w:tcW w:w="975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cs="Times New Roman"/>
                <w:color w:val="000000"/>
                <w:sz w:val="18"/>
                <w:szCs w:val="18"/>
                <w:lang w:val="en-US" w:eastAsia="zh-CN"/>
              </w:rPr>
              <w:t>2</w:t>
            </w:r>
          </w:p>
        </w:tc>
        <w:tc>
          <w:tcPr>
            <w:tcW w:w="119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421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cs="Times New Roman"/>
                <w:color w:val="000000"/>
                <w:sz w:val="18"/>
                <w:szCs w:val="18"/>
                <w:lang w:val="en-US" w:eastAsia="zh-CN"/>
              </w:rPr>
              <w:t>409-2-6-2-1</w:t>
            </w:r>
          </w:p>
        </w:tc>
        <w:tc>
          <w:tcPr>
            <w:tcW w:w="1730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cs="Times New Roman"/>
                <w:color w:val="000000"/>
                <w:sz w:val="18"/>
                <w:szCs w:val="18"/>
                <w:lang w:val="en-US" w:eastAsia="zh-CN"/>
              </w:rPr>
              <w:t>隧道内紧急电话(壁挂式)</w:t>
            </w: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</w:pPr>
          </w:p>
        </w:tc>
        <w:tc>
          <w:tcPr>
            <w:tcW w:w="885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cs="Times New Roman"/>
                <w:color w:val="000000"/>
                <w:sz w:val="18"/>
                <w:szCs w:val="18"/>
                <w:lang w:val="en-US" w:eastAsia="zh-CN"/>
              </w:rPr>
              <w:t>套</w:t>
            </w:r>
          </w:p>
        </w:tc>
        <w:tc>
          <w:tcPr>
            <w:tcW w:w="975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cs="Times New Roman"/>
                <w:color w:val="000000"/>
                <w:sz w:val="18"/>
                <w:szCs w:val="18"/>
                <w:lang w:val="en-US" w:eastAsia="zh-CN"/>
              </w:rPr>
              <w:t>2</w:t>
            </w:r>
          </w:p>
        </w:tc>
        <w:tc>
          <w:tcPr>
            <w:tcW w:w="119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421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cs="Times New Roman"/>
                <w:color w:val="000000"/>
                <w:sz w:val="18"/>
                <w:szCs w:val="18"/>
                <w:lang w:val="en-US" w:eastAsia="zh-CN"/>
              </w:rPr>
              <w:t>409-2-6-2-25</w:t>
            </w:r>
          </w:p>
        </w:tc>
        <w:tc>
          <w:tcPr>
            <w:tcW w:w="1730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cs="Times New Roman"/>
                <w:color w:val="000000"/>
                <w:sz w:val="18"/>
                <w:szCs w:val="18"/>
                <w:lang w:val="en-US" w:eastAsia="zh-CN"/>
              </w:rPr>
              <w:t>扬声器15W</w:t>
            </w: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</w:pPr>
          </w:p>
        </w:tc>
        <w:tc>
          <w:tcPr>
            <w:tcW w:w="885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cs="Times New Roman"/>
                <w:color w:val="000000"/>
                <w:sz w:val="18"/>
                <w:szCs w:val="18"/>
                <w:lang w:val="en-US" w:eastAsia="zh-CN"/>
              </w:rPr>
              <w:t>套</w:t>
            </w:r>
          </w:p>
        </w:tc>
        <w:tc>
          <w:tcPr>
            <w:tcW w:w="975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cs="Times New Roman"/>
                <w:color w:val="000000"/>
                <w:sz w:val="18"/>
                <w:szCs w:val="18"/>
                <w:lang w:val="en-US" w:eastAsia="zh-CN"/>
              </w:rPr>
              <w:t>5</w:t>
            </w:r>
          </w:p>
        </w:tc>
        <w:tc>
          <w:tcPr>
            <w:tcW w:w="119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</w:tr>
    </w:tbl>
    <w:p>
      <w:p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清单说明：</w:t>
      </w:r>
    </w:p>
    <w:p>
      <w:pPr>
        <w:numPr>
          <w:ilvl w:val="0"/>
          <w:numId w:val="4"/>
        </w:num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eastAsia" w:cs="Times New Roman"/>
          <w:bCs/>
          <w:snapToGrid w:val="0"/>
          <w:kern w:val="0"/>
          <w:sz w:val="24"/>
          <w:szCs w:val="24"/>
          <w:lang w:val="en-US" w:eastAsia="zh-CN"/>
        </w:rPr>
        <w:t xml:space="preserve"> </w:t>
      </w: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包括</w:t>
      </w:r>
      <w:r>
        <w:rPr>
          <w:rFonts w:hint="eastAsia" w:cs="Times New Roman"/>
          <w:bCs/>
          <w:snapToGrid w:val="0"/>
          <w:kern w:val="0"/>
          <w:sz w:val="24"/>
          <w:szCs w:val="24"/>
          <w:lang w:val="en-US" w:eastAsia="zh-CN"/>
        </w:rPr>
        <w:t>运费、</w:t>
      </w: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保险费、税费、试运行及缺陷的维护等一切费用；</w:t>
      </w:r>
    </w:p>
    <w:p>
      <w:pPr>
        <w:pStyle w:val="8"/>
        <w:numPr>
          <w:ilvl w:val="0"/>
          <w:numId w:val="4"/>
        </w:numPr>
        <w:ind w:firstLine="566" w:firstLineChars="236"/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最高限价：</w:t>
      </w:r>
      <w:r>
        <w:rPr>
          <w:rFonts w:hint="eastAsia" w:cs="Times New Roman"/>
          <w:bCs/>
          <w:snapToGrid w:val="0"/>
          <w:kern w:val="0"/>
          <w:sz w:val="24"/>
          <w:szCs w:val="24"/>
          <w:lang w:val="en-US" w:eastAsia="zh-CN"/>
        </w:rPr>
        <w:t>262080.00</w:t>
      </w:r>
      <w:bookmarkStart w:id="3" w:name="_GoBack"/>
      <w:bookmarkEnd w:id="3"/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元。</w:t>
      </w:r>
    </w:p>
    <w:p>
      <w:pPr>
        <w:pStyle w:val="8"/>
        <w:numPr>
          <w:ilvl w:val="0"/>
          <w:numId w:val="3"/>
        </w:numPr>
        <w:ind w:left="0" w:leftChars="0" w:firstLine="0" w:firstLineChars="0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供应商资格条件</w:t>
      </w:r>
    </w:p>
    <w:p>
      <w:pPr>
        <w:pStyle w:val="8"/>
        <w:ind w:firstLine="48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信用信誉良好，所供设备符合本工程量清单设备技术要求。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响应回执的递交</w:t>
      </w:r>
    </w:p>
    <w:p>
      <w:pPr>
        <w:spacing w:line="360" w:lineRule="auto"/>
        <w:ind w:firstLine="480" w:firstLineChars="200"/>
        <w:rPr>
          <w:rFonts w:hint="default" w:ascii="Times New Roman" w:hAnsi="Times New Roman" w:eastAsia="宋体" w:cs="Times New Roman"/>
          <w:snapToGrid w:val="0"/>
          <w:color w:val="00000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凡有意参加本次采购且具备履行本项目能力的供应商，请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将附于本公告后的响应回执在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2023年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12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  <w:lang w:val="en-US" w:eastAsia="zh-CN"/>
        </w:rPr>
        <w:t xml:space="preserve"> 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月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15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日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12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：00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之前发送至采购人邮箱：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18221532652@163</w:t>
      </w:r>
      <w:r>
        <w:rPr>
          <w:rFonts w:hint="default" w:ascii="Times New Roman" w:hAnsi="Times New Roman" w:eastAsia="宋体" w:cs="Times New Roman"/>
          <w:snapToGrid w:val="0"/>
          <w:color w:val="000000"/>
          <w:kern w:val="0"/>
          <w:sz w:val="24"/>
          <w:szCs w:val="24"/>
        </w:rPr>
        <w:t>.com，逾期无效。采购人在收到响应回执后根据供应商信用信誉等情况进行讨论提议，不再另行发布采购公告。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bookmarkStart w:id="0" w:name="_Toc332793818"/>
      <w:bookmarkStart w:id="1" w:name="_Toc332965960"/>
      <w:bookmarkStart w:id="2" w:name="_Toc332793891"/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联系方式</w:t>
      </w:r>
      <w:bookmarkEnd w:id="0"/>
      <w:bookmarkEnd w:id="1"/>
      <w:bookmarkEnd w:id="2"/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采购人：广东诚泰交通科技发展有限公司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采购人地址：广州市番禺区洛浦街道北环路87号道路研究院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lang w:val="en-US" w:eastAsia="zh-CN"/>
        </w:rPr>
        <w:t>有限公司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二号楼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联  系  人：</w:t>
      </w:r>
      <w:r>
        <w:rPr>
          <w:rFonts w:hint="eastAsia" w:cs="Times New Roman"/>
          <w:color w:val="000000"/>
          <w:sz w:val="24"/>
          <w:szCs w:val="24"/>
          <w:lang w:eastAsia="zh-CN"/>
        </w:rPr>
        <w:t>张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工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电      话：020-39185740</w:t>
      </w:r>
    </w:p>
    <w:p>
      <w:pPr>
        <w:topLinePunct/>
        <w:spacing w:line="360" w:lineRule="auto"/>
        <w:jc w:val="right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广东诚泰交通科技发展有限公司</w:t>
      </w:r>
    </w:p>
    <w:p>
      <w:pPr>
        <w:topLinePunct/>
        <w:spacing w:line="360" w:lineRule="auto"/>
        <w:jc w:val="center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 xml:space="preserve">                                           2023年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12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月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13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0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Book Antiqua">
    <w:altName w:val="Segoe Print"/>
    <w:panose1 w:val="02040602050305030304"/>
    <w:charset w:val="00"/>
    <w:family w:val="roman"/>
    <w:pitch w:val="default"/>
    <w:sig w:usb0="00000000" w:usb1="00000000" w:usb2="00000000" w:usb3="00000000" w:csb0="2000009F" w:csb1="DFD7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AEB739B"/>
    <w:multiLevelType w:val="singleLevel"/>
    <w:tmpl w:val="AAEB739B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1">
    <w:nsid w:val="CEC06D5F"/>
    <w:multiLevelType w:val="singleLevel"/>
    <w:tmpl w:val="CEC06D5F"/>
    <w:lvl w:ilvl="0" w:tentative="0">
      <w:start w:val="1"/>
      <w:numFmt w:val="decimal"/>
      <w:suff w:val="nothing"/>
      <w:lvlText w:val="（%1）"/>
      <w:lvlJc w:val="left"/>
    </w:lvl>
  </w:abstractNum>
  <w:abstractNum w:abstractNumId="2">
    <w:nsid w:val="171657A1"/>
    <w:multiLevelType w:val="multilevel"/>
    <w:tmpl w:val="171657A1"/>
    <w:lvl w:ilvl="0" w:tentative="0">
      <w:start w:val="1"/>
      <w:numFmt w:val="decimal"/>
      <w:suff w:val="nothing"/>
      <w:lvlText w:val="%1 "/>
      <w:lvlJc w:val="left"/>
      <w:pPr>
        <w:ind w:left="0" w:firstLine="0"/>
      </w:pPr>
      <w:rPr>
        <w:rFonts w:hint="default" w:ascii="Book Antiqua" w:hAnsi="Book Antiqua" w:eastAsia="黑体" w:cs="Book Antiqua"/>
        <w:b/>
        <w:bCs/>
        <w:i w:val="0"/>
        <w:iCs w:val="0"/>
        <w:caps w:val="0"/>
        <w:strike w:val="0"/>
        <w:dstrike w:val="0"/>
        <w:vanish w:val="0"/>
        <w:color w:val="000000"/>
        <w:sz w:val="144"/>
        <w:szCs w:val="144"/>
        <w:vertAlign w:val="baseline"/>
      </w:rPr>
    </w:lvl>
    <w:lvl w:ilvl="1" w:tentative="0">
      <w:start w:val="1"/>
      <w:numFmt w:val="decimal"/>
      <w:pStyle w:val="4"/>
      <w:suff w:val="nothing"/>
      <w:lvlText w:val="%1.%2 "/>
      <w:lvlJc w:val="left"/>
      <w:pPr>
        <w:ind w:left="0" w:firstLine="0"/>
      </w:pPr>
      <w:rPr>
        <w:rFonts w:hint="default" w:ascii="Book Antiqua" w:hAnsi="Book Antiqua" w:eastAsia="黑体" w:cs="Book Antiqua"/>
        <w:b w:val="0"/>
        <w:bCs/>
        <w:i w:val="0"/>
        <w:iCs w:val="0"/>
        <w:caps w:val="0"/>
        <w:strike w:val="0"/>
        <w:dstrike w:val="0"/>
        <w:snapToGrid w:val="0"/>
        <w:vanish w:val="0"/>
        <w:color w:val="000000"/>
        <w:spacing w:val="0"/>
        <w:kern w:val="0"/>
        <w:sz w:val="36"/>
        <w:szCs w:val="36"/>
        <w:vertAlign w:val="baseline"/>
      </w:rPr>
    </w:lvl>
    <w:lvl w:ilvl="2" w:tentative="0">
      <w:start w:val="1"/>
      <w:numFmt w:val="decimal"/>
      <w:pStyle w:val="5"/>
      <w:suff w:val="nothing"/>
      <w:lvlText w:val="%1.%2.%3 "/>
      <w:lvlJc w:val="left"/>
      <w:pPr>
        <w:ind w:left="142" w:firstLine="0"/>
      </w:pPr>
    </w:lvl>
    <w:lvl w:ilvl="3" w:tentative="0">
      <w:start w:val="1"/>
      <w:numFmt w:val="decimal"/>
      <w:lvlRestart w:val="1"/>
      <w:pStyle w:val="6"/>
      <w:suff w:val="nothing"/>
      <w:lvlText w:val="%1.%2.%3.%4 "/>
      <w:lvlJc w:val="left"/>
      <w:pPr>
        <w:ind w:left="0" w:firstLine="0"/>
      </w:pPr>
      <w:rPr>
        <w:rFonts w:hint="default" w:ascii="Book Antiqua" w:hAnsi="Book Antiqua" w:eastAsia="黑体" w:cs="Book Antiqua"/>
        <w:bCs/>
        <w:i w:val="0"/>
        <w:iCs w:val="0"/>
        <w:caps w:val="0"/>
        <w:strike w:val="0"/>
        <w:dstrike w:val="0"/>
        <w:vanish w:val="0"/>
        <w:color w:val="000000"/>
        <w:sz w:val="28"/>
        <w:szCs w:val="28"/>
        <w:vertAlign w:val="baseline"/>
      </w:rPr>
    </w:lvl>
    <w:lvl w:ilvl="4" w:tentative="0">
      <w:start w:val="1"/>
      <w:numFmt w:val="decimal"/>
      <w:lvlRestart w:val="1"/>
      <w:pStyle w:val="7"/>
      <w:suff w:val="nothing"/>
      <w:lvlText w:val="%1.%2.%3.%4.%5 "/>
      <w:lvlJc w:val="left"/>
      <w:pPr>
        <w:ind w:left="0" w:firstLine="0"/>
      </w:pPr>
      <w:rPr>
        <w:rFonts w:hint="default" w:ascii="Book Antiqua" w:hAnsi="Book Antiqua" w:eastAsia="黑体" w:cs="Book Antiqua"/>
        <w:bCs/>
        <w:i w:val="0"/>
        <w:iCs w:val="0"/>
        <w:caps w:val="0"/>
        <w:strike w:val="0"/>
        <w:dstrike w:val="0"/>
        <w:vanish w:val="0"/>
        <w:color w:val="000000"/>
        <w:sz w:val="24"/>
        <w:szCs w:val="24"/>
        <w:vertAlign w:val="baseline"/>
      </w:rPr>
    </w:lvl>
    <w:lvl w:ilvl="5" w:tentative="0">
      <w:start w:val="1"/>
      <w:numFmt w:val="none"/>
      <w:pStyle w:val="25"/>
      <w:suff w:val="nothing"/>
      <w:lvlText w:val=""/>
      <w:lvlJc w:val="left"/>
      <w:pPr>
        <w:ind w:left="0" w:firstLine="0"/>
      </w:pPr>
      <w:rPr>
        <w:rFonts w:hint="default" w:ascii="Arial" w:hAnsi="Arial" w:cs="Arial"/>
        <w:b/>
        <w:bCs/>
        <w:i w:val="0"/>
        <w:iCs w:val="0"/>
        <w:caps w:val="0"/>
        <w:strike w:val="0"/>
        <w:dstrike w:val="0"/>
        <w:vanish w:val="0"/>
        <w:color w:val="000000"/>
        <w:sz w:val="20"/>
        <w:szCs w:val="20"/>
        <w:vertAlign w:val="baseline"/>
      </w:rPr>
    </w:lvl>
    <w:lvl w:ilvl="6" w:tentative="0">
      <w:start w:val="1"/>
      <w:numFmt w:val="decimal"/>
      <w:pStyle w:val="29"/>
      <w:lvlText w:val="步骤 %7"/>
      <w:lvlJc w:val="right"/>
      <w:pPr>
        <w:tabs>
          <w:tab w:val="left" w:pos="1701"/>
        </w:tabs>
        <w:ind w:left="1701" w:hanging="159"/>
      </w:pPr>
      <w:rPr>
        <w:rFonts w:hint="default" w:ascii="Book Antiqua" w:hAnsi="Book Antiqua" w:eastAsia="黑体" w:cs="Times New Roman"/>
        <w:b w:val="0"/>
        <w:bCs/>
        <w:i w:val="0"/>
        <w:iCs w:val="0"/>
        <w:color w:val="auto"/>
        <w:sz w:val="21"/>
        <w:szCs w:val="21"/>
      </w:rPr>
    </w:lvl>
    <w:lvl w:ilvl="7" w:tentative="0">
      <w:start w:val="1"/>
      <w:numFmt w:val="decimal"/>
      <w:lvlRestart w:val="1"/>
      <w:pStyle w:val="35"/>
      <w:suff w:val="space"/>
      <w:lvlText w:val="图%1-%8"/>
      <w:lvlJc w:val="left"/>
      <w:pPr>
        <w:ind w:left="1701" w:firstLine="0"/>
      </w:pPr>
      <w:rPr>
        <w:rFonts w:hint="default" w:ascii="Times New Roman" w:hAnsi="Times New Roman" w:eastAsia="黑体" w:cs="Book Antiqua"/>
        <w:b w:val="0"/>
        <w:bCs/>
        <w:i w:val="0"/>
        <w:iCs w:val="0"/>
        <w:strike w:val="0"/>
        <w:dstrike w:val="0"/>
        <w:color w:val="000000"/>
        <w:sz w:val="21"/>
        <w:szCs w:val="21"/>
        <w:vertAlign w:val="baseline"/>
      </w:rPr>
    </w:lvl>
    <w:lvl w:ilvl="8" w:tentative="0">
      <w:start w:val="1"/>
      <w:numFmt w:val="decimal"/>
      <w:lvlRestart w:val="1"/>
      <w:pStyle w:val="26"/>
      <w:suff w:val="space"/>
      <w:lvlText w:val="表%1-%9"/>
      <w:lvlJc w:val="left"/>
      <w:pPr>
        <w:ind w:left="1701" w:firstLine="0"/>
      </w:pPr>
      <w:rPr>
        <w:rFonts w:hint="default" w:ascii="Times New Roman" w:hAnsi="Times New Roman" w:eastAsia="黑体"/>
        <w:b w:val="0"/>
        <w:bCs/>
        <w:i w:val="0"/>
        <w:iCs w:val="0"/>
        <w:color w:val="auto"/>
        <w:sz w:val="21"/>
        <w:szCs w:val="21"/>
      </w:rPr>
    </w:lvl>
  </w:abstractNum>
  <w:abstractNum w:abstractNumId="3">
    <w:nsid w:val="6E230785"/>
    <w:multiLevelType w:val="multilevel"/>
    <w:tmpl w:val="6E230785"/>
    <w:lvl w:ilvl="0" w:tentative="0">
      <w:start w:val="1"/>
      <w:numFmt w:val="bullet"/>
      <w:pStyle w:val="34"/>
      <w:lvlText w:val=""/>
      <w:lvlJc w:val="left"/>
      <w:pPr>
        <w:tabs>
          <w:tab w:val="left" w:pos="170"/>
        </w:tabs>
        <w:ind w:left="170" w:hanging="170"/>
      </w:pPr>
      <w:rPr>
        <w:rFonts w:hint="default" w:ascii="Wingdings" w:hAnsi="Wingdings" w:eastAsia="宋体"/>
        <w:b w:val="0"/>
        <w:i w:val="0"/>
        <w:color w:val="auto"/>
        <w:position w:val="3"/>
        <w:sz w:val="13"/>
        <w:szCs w:val="13"/>
      </w:rPr>
    </w:lvl>
    <w:lvl w:ilvl="1" w:tentative="0">
      <w:start w:val="1"/>
      <w:numFmt w:val="lowerLetter"/>
      <w:pStyle w:val="31"/>
      <w:lvlText w:val="%2."/>
      <w:lvlJc w:val="left"/>
      <w:pPr>
        <w:tabs>
          <w:tab w:val="left" w:pos="284"/>
        </w:tabs>
        <w:ind w:left="568" w:hanging="284"/>
      </w:pPr>
      <w:rPr>
        <w:rFonts w:hint="default" w:ascii="Times New Roman" w:hAnsi="Times New Roman" w:cs="Book Antiqua"/>
        <w:b w:val="0"/>
        <w:bCs/>
        <w:i w:val="0"/>
        <w:iCs w:val="0"/>
        <w:sz w:val="21"/>
        <w:szCs w:val="21"/>
        <w:u w:val="none"/>
      </w:rPr>
    </w:lvl>
    <w:lvl w:ilvl="2" w:tentative="0">
      <w:start w:val="1"/>
      <w:numFmt w:val="bullet"/>
      <w:pStyle w:val="32"/>
      <w:lvlText w:val="−"/>
      <w:lvlJc w:val="left"/>
      <w:pPr>
        <w:tabs>
          <w:tab w:val="left" w:pos="568"/>
        </w:tabs>
        <w:ind w:left="568" w:hanging="284"/>
      </w:pPr>
      <w:rPr>
        <w:rFonts w:hint="default" w:ascii="Times New Roman" w:hAnsi="Times New Roman" w:cs="Times New Roman"/>
        <w:sz w:val="16"/>
        <w:szCs w:val="16"/>
      </w:rPr>
    </w:lvl>
    <w:lvl w:ilvl="3" w:tentative="0">
      <w:start w:val="1"/>
      <w:numFmt w:val="decimal"/>
      <w:pStyle w:val="33"/>
      <w:lvlText w:val="%4."/>
      <w:lvlJc w:val="left"/>
      <w:pPr>
        <w:tabs>
          <w:tab w:val="left" w:pos="284"/>
        </w:tabs>
        <w:ind w:left="568" w:hanging="284"/>
      </w:pPr>
      <w:rPr>
        <w:rFonts w:hint="default" w:ascii="Times New Roman" w:hAnsi="Times New Roman" w:cs="Book Antiqua"/>
        <w:b w:val="0"/>
        <w:bCs/>
        <w:i w:val="0"/>
        <w:iCs w:val="0"/>
        <w:sz w:val="21"/>
        <w:szCs w:val="21"/>
        <w:u w:val="none"/>
      </w:rPr>
    </w:lvl>
    <w:lvl w:ilvl="4" w:tentative="0">
      <w:start w:val="1"/>
      <w:numFmt w:val="bullet"/>
      <w:pStyle w:val="38"/>
      <w:lvlText w:val=""/>
      <w:lvlJc w:val="left"/>
      <w:pPr>
        <w:tabs>
          <w:tab w:val="left" w:pos="568"/>
        </w:tabs>
        <w:ind w:left="568" w:hanging="284"/>
      </w:pPr>
      <w:rPr>
        <w:rFonts w:hint="default" w:ascii="Wingdings" w:hAnsi="Wingdings" w:eastAsia="宋体"/>
        <w:b w:val="0"/>
        <w:i w:val="0"/>
        <w:color w:val="auto"/>
        <w:position w:val="3"/>
        <w:sz w:val="13"/>
        <w:szCs w:val="13"/>
      </w:rPr>
    </w:lvl>
    <w:lvl w:ilvl="5" w:tentative="0">
      <w:start w:val="1"/>
      <w:numFmt w:val="decimal"/>
      <w:pStyle w:val="30"/>
      <w:lvlText w:val="%6."/>
      <w:lvlJc w:val="left"/>
      <w:pPr>
        <w:tabs>
          <w:tab w:val="left" w:pos="1985"/>
        </w:tabs>
        <w:ind w:left="1985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21"/>
        <w:szCs w:val="21"/>
      </w:rPr>
    </w:lvl>
    <w:lvl w:ilvl="6" w:tentative="0">
      <w:start w:val="1"/>
      <w:numFmt w:val="decimal"/>
      <w:pStyle w:val="36"/>
      <w:lvlText w:val="%7."/>
      <w:lvlJc w:val="left"/>
      <w:pPr>
        <w:tabs>
          <w:tab w:val="left" w:pos="2359"/>
        </w:tabs>
        <w:ind w:left="2359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18"/>
        <w:szCs w:val="18"/>
      </w:rPr>
    </w:lvl>
    <w:lvl w:ilvl="7" w:tentative="0">
      <w:start w:val="1"/>
      <w:numFmt w:val="decimal"/>
      <w:pStyle w:val="37"/>
      <w:lvlText w:val="%8."/>
      <w:lvlJc w:val="left"/>
      <w:pPr>
        <w:tabs>
          <w:tab w:val="left" w:pos="454"/>
        </w:tabs>
        <w:ind w:left="454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18"/>
        <w:szCs w:val="18"/>
      </w:rPr>
    </w:lvl>
    <w:lvl w:ilvl="8" w:tentative="0">
      <w:start w:val="1"/>
      <w:numFmt w:val="bullet"/>
      <w:lvlText w:val=""/>
      <w:lvlJc w:val="left"/>
      <w:pPr>
        <w:tabs>
          <w:tab w:val="left" w:pos="3780"/>
        </w:tabs>
        <w:ind w:left="3780" w:hanging="420"/>
      </w:pPr>
      <w:rPr>
        <w:rFonts w:hint="default" w:ascii="Wingdings" w:hAnsi="Wingdings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MWZhYTRhYzgzMGM3MjY1YjczZGE3ZGNhYWNmMWUyMWUifQ=="/>
  </w:docVars>
  <w:rsids>
    <w:rsidRoot w:val="00172A27"/>
    <w:rsid w:val="00123FE3"/>
    <w:rsid w:val="001301C5"/>
    <w:rsid w:val="00172A27"/>
    <w:rsid w:val="00477707"/>
    <w:rsid w:val="005603E4"/>
    <w:rsid w:val="00791D96"/>
    <w:rsid w:val="009444C8"/>
    <w:rsid w:val="009A3C9A"/>
    <w:rsid w:val="00C424AD"/>
    <w:rsid w:val="00CC1A2E"/>
    <w:rsid w:val="00ED32E4"/>
    <w:rsid w:val="00EE2011"/>
    <w:rsid w:val="00FA736A"/>
    <w:rsid w:val="00FC4153"/>
    <w:rsid w:val="00FD7ED5"/>
    <w:rsid w:val="012D66CB"/>
    <w:rsid w:val="014D3BDD"/>
    <w:rsid w:val="01A56261"/>
    <w:rsid w:val="02040FDF"/>
    <w:rsid w:val="02083795"/>
    <w:rsid w:val="02217FDE"/>
    <w:rsid w:val="02346562"/>
    <w:rsid w:val="02BE3126"/>
    <w:rsid w:val="03393105"/>
    <w:rsid w:val="046B1D8B"/>
    <w:rsid w:val="046E3765"/>
    <w:rsid w:val="049770F8"/>
    <w:rsid w:val="05FC2DA4"/>
    <w:rsid w:val="06622CB2"/>
    <w:rsid w:val="06A411DD"/>
    <w:rsid w:val="06B270C7"/>
    <w:rsid w:val="072D08E0"/>
    <w:rsid w:val="076D7821"/>
    <w:rsid w:val="083A6841"/>
    <w:rsid w:val="08CE455E"/>
    <w:rsid w:val="08EE3671"/>
    <w:rsid w:val="09293C1C"/>
    <w:rsid w:val="092A167C"/>
    <w:rsid w:val="0A310FDA"/>
    <w:rsid w:val="0A634ED8"/>
    <w:rsid w:val="0A69025B"/>
    <w:rsid w:val="0AB539B9"/>
    <w:rsid w:val="0B867103"/>
    <w:rsid w:val="0C397098"/>
    <w:rsid w:val="0DA26991"/>
    <w:rsid w:val="0ECB4993"/>
    <w:rsid w:val="0F334EAC"/>
    <w:rsid w:val="110A4ECB"/>
    <w:rsid w:val="112A7044"/>
    <w:rsid w:val="11C047DB"/>
    <w:rsid w:val="123D1FC9"/>
    <w:rsid w:val="127272C1"/>
    <w:rsid w:val="12ED5CBA"/>
    <w:rsid w:val="13921855"/>
    <w:rsid w:val="140B63F8"/>
    <w:rsid w:val="142F0FB1"/>
    <w:rsid w:val="1448764C"/>
    <w:rsid w:val="14C447F8"/>
    <w:rsid w:val="156452D7"/>
    <w:rsid w:val="15983E83"/>
    <w:rsid w:val="164E6A70"/>
    <w:rsid w:val="17342FB4"/>
    <w:rsid w:val="176F6C9D"/>
    <w:rsid w:val="17936E30"/>
    <w:rsid w:val="18606150"/>
    <w:rsid w:val="19B32EC3"/>
    <w:rsid w:val="1A786886"/>
    <w:rsid w:val="1A9A1875"/>
    <w:rsid w:val="1B54415D"/>
    <w:rsid w:val="1CC7757C"/>
    <w:rsid w:val="1D133DBB"/>
    <w:rsid w:val="1D5379E4"/>
    <w:rsid w:val="1DC008E5"/>
    <w:rsid w:val="1DD86320"/>
    <w:rsid w:val="1EFF5193"/>
    <w:rsid w:val="1F3E25C9"/>
    <w:rsid w:val="1F8905C9"/>
    <w:rsid w:val="1F9A0F77"/>
    <w:rsid w:val="1FEF3071"/>
    <w:rsid w:val="20205D7D"/>
    <w:rsid w:val="2031368A"/>
    <w:rsid w:val="2039362C"/>
    <w:rsid w:val="23EB1DA2"/>
    <w:rsid w:val="24875F4B"/>
    <w:rsid w:val="257863B0"/>
    <w:rsid w:val="25D6438C"/>
    <w:rsid w:val="25E8311E"/>
    <w:rsid w:val="25E92311"/>
    <w:rsid w:val="261F5D33"/>
    <w:rsid w:val="26445799"/>
    <w:rsid w:val="26D54E03"/>
    <w:rsid w:val="28126A09"/>
    <w:rsid w:val="29B42C36"/>
    <w:rsid w:val="2A6117E0"/>
    <w:rsid w:val="2A8940C2"/>
    <w:rsid w:val="2A9C2048"/>
    <w:rsid w:val="2B6761B2"/>
    <w:rsid w:val="2B975488"/>
    <w:rsid w:val="2BB05A29"/>
    <w:rsid w:val="2BBE1469"/>
    <w:rsid w:val="2CA84CD4"/>
    <w:rsid w:val="2D0F01FF"/>
    <w:rsid w:val="2D393A69"/>
    <w:rsid w:val="2DEE2BBA"/>
    <w:rsid w:val="2E0860D1"/>
    <w:rsid w:val="2E402CEA"/>
    <w:rsid w:val="2E5A20BA"/>
    <w:rsid w:val="2E9D63F3"/>
    <w:rsid w:val="2ECB5FE2"/>
    <w:rsid w:val="2F204FF5"/>
    <w:rsid w:val="311741D6"/>
    <w:rsid w:val="31ED1DC9"/>
    <w:rsid w:val="31F44517"/>
    <w:rsid w:val="32A01FA9"/>
    <w:rsid w:val="337322A8"/>
    <w:rsid w:val="33D53A32"/>
    <w:rsid w:val="34403FA4"/>
    <w:rsid w:val="34AC7869"/>
    <w:rsid w:val="34DB5F68"/>
    <w:rsid w:val="35912415"/>
    <w:rsid w:val="36BD312A"/>
    <w:rsid w:val="371778DF"/>
    <w:rsid w:val="37E62326"/>
    <w:rsid w:val="389B56ED"/>
    <w:rsid w:val="38A511DA"/>
    <w:rsid w:val="3A1B67E7"/>
    <w:rsid w:val="3A7D6982"/>
    <w:rsid w:val="3C047712"/>
    <w:rsid w:val="3C06471B"/>
    <w:rsid w:val="3CCC5DA0"/>
    <w:rsid w:val="3CD77495"/>
    <w:rsid w:val="3CDE204C"/>
    <w:rsid w:val="3CE16532"/>
    <w:rsid w:val="3CE57FED"/>
    <w:rsid w:val="3CEC69E0"/>
    <w:rsid w:val="3D4445A5"/>
    <w:rsid w:val="3D8923ED"/>
    <w:rsid w:val="3DC27043"/>
    <w:rsid w:val="3DD1395F"/>
    <w:rsid w:val="3E8C010F"/>
    <w:rsid w:val="3EFD65C9"/>
    <w:rsid w:val="400E2C48"/>
    <w:rsid w:val="4033445D"/>
    <w:rsid w:val="403A795B"/>
    <w:rsid w:val="4044389B"/>
    <w:rsid w:val="406F693B"/>
    <w:rsid w:val="40C03B09"/>
    <w:rsid w:val="42100EF9"/>
    <w:rsid w:val="42925DB2"/>
    <w:rsid w:val="42D40179"/>
    <w:rsid w:val="434B112E"/>
    <w:rsid w:val="443D1A3B"/>
    <w:rsid w:val="443D3AFC"/>
    <w:rsid w:val="4504286C"/>
    <w:rsid w:val="45343151"/>
    <w:rsid w:val="459736E0"/>
    <w:rsid w:val="46C97C03"/>
    <w:rsid w:val="471A188F"/>
    <w:rsid w:val="472B5FAC"/>
    <w:rsid w:val="48AD79E8"/>
    <w:rsid w:val="48F03340"/>
    <w:rsid w:val="4908486B"/>
    <w:rsid w:val="49B06B1E"/>
    <w:rsid w:val="49DC5C4D"/>
    <w:rsid w:val="4A44006F"/>
    <w:rsid w:val="4B3450B1"/>
    <w:rsid w:val="4BFB311F"/>
    <w:rsid w:val="4DA31AFF"/>
    <w:rsid w:val="4DB34E2F"/>
    <w:rsid w:val="4DB87F36"/>
    <w:rsid w:val="4E3D26EE"/>
    <w:rsid w:val="4EDD59B8"/>
    <w:rsid w:val="50DE6FEF"/>
    <w:rsid w:val="513444D8"/>
    <w:rsid w:val="515756D7"/>
    <w:rsid w:val="522B08F5"/>
    <w:rsid w:val="52871060"/>
    <w:rsid w:val="52ED4007"/>
    <w:rsid w:val="531075E5"/>
    <w:rsid w:val="54210D44"/>
    <w:rsid w:val="54227B28"/>
    <w:rsid w:val="54A81A34"/>
    <w:rsid w:val="55241729"/>
    <w:rsid w:val="55A27C63"/>
    <w:rsid w:val="55A710AE"/>
    <w:rsid w:val="55B35218"/>
    <w:rsid w:val="560F1B9D"/>
    <w:rsid w:val="57645366"/>
    <w:rsid w:val="57BF2D4E"/>
    <w:rsid w:val="589A2E73"/>
    <w:rsid w:val="58B74CBC"/>
    <w:rsid w:val="58FA7DB6"/>
    <w:rsid w:val="598A3C77"/>
    <w:rsid w:val="5B2814D9"/>
    <w:rsid w:val="5B8F6EDB"/>
    <w:rsid w:val="5BAB3813"/>
    <w:rsid w:val="5D4D1D73"/>
    <w:rsid w:val="5D972077"/>
    <w:rsid w:val="5E8E770E"/>
    <w:rsid w:val="623B7383"/>
    <w:rsid w:val="63166D1A"/>
    <w:rsid w:val="631D301E"/>
    <w:rsid w:val="64BB2AEF"/>
    <w:rsid w:val="658571E6"/>
    <w:rsid w:val="65922BE0"/>
    <w:rsid w:val="65CF770C"/>
    <w:rsid w:val="6635242D"/>
    <w:rsid w:val="66C67529"/>
    <w:rsid w:val="67852F40"/>
    <w:rsid w:val="678E6299"/>
    <w:rsid w:val="680622D3"/>
    <w:rsid w:val="69A753F0"/>
    <w:rsid w:val="6A484E25"/>
    <w:rsid w:val="6AC458C1"/>
    <w:rsid w:val="6AC87D14"/>
    <w:rsid w:val="6AF27A26"/>
    <w:rsid w:val="6B2D401B"/>
    <w:rsid w:val="6B686E01"/>
    <w:rsid w:val="6C083654"/>
    <w:rsid w:val="6C094604"/>
    <w:rsid w:val="6C751B3B"/>
    <w:rsid w:val="6D0E5786"/>
    <w:rsid w:val="6DC37643"/>
    <w:rsid w:val="6E182D60"/>
    <w:rsid w:val="6E354925"/>
    <w:rsid w:val="6E4A295F"/>
    <w:rsid w:val="6EAE5472"/>
    <w:rsid w:val="6ED924EF"/>
    <w:rsid w:val="6F0E046E"/>
    <w:rsid w:val="6FE03650"/>
    <w:rsid w:val="70926DFA"/>
    <w:rsid w:val="710B2708"/>
    <w:rsid w:val="724471CD"/>
    <w:rsid w:val="734653CB"/>
    <w:rsid w:val="738D1AFA"/>
    <w:rsid w:val="74963E13"/>
    <w:rsid w:val="75181898"/>
    <w:rsid w:val="75292AD1"/>
    <w:rsid w:val="7553467E"/>
    <w:rsid w:val="760D37CC"/>
    <w:rsid w:val="76EA3852"/>
    <w:rsid w:val="79870010"/>
    <w:rsid w:val="79E2018B"/>
    <w:rsid w:val="79F012A8"/>
    <w:rsid w:val="7B445194"/>
    <w:rsid w:val="7C7F737F"/>
    <w:rsid w:val="7CF20C20"/>
    <w:rsid w:val="7DA154A0"/>
    <w:rsid w:val="7DD345AE"/>
    <w:rsid w:val="7E26070B"/>
    <w:rsid w:val="7E921C8E"/>
    <w:rsid w:val="7F263D72"/>
    <w:rsid w:val="7FD34D39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nhideWhenUsed="0" w:uiPriority="0" w:semiHidden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4">
    <w:name w:val="heading 2"/>
    <w:basedOn w:val="1"/>
    <w:next w:val="5"/>
    <w:link w:val="17"/>
    <w:qFormat/>
    <w:uiPriority w:val="0"/>
    <w:pPr>
      <w:keepNext/>
      <w:keepLines/>
      <w:widowControl/>
      <w:numPr>
        <w:ilvl w:val="1"/>
        <w:numId w:val="1"/>
      </w:numPr>
      <w:topLinePunct/>
      <w:adjustRightInd w:val="0"/>
      <w:snapToGrid w:val="0"/>
      <w:spacing w:before="600" w:after="160" w:line="240" w:lineRule="atLeast"/>
      <w:jc w:val="left"/>
      <w:outlineLvl w:val="1"/>
    </w:pPr>
    <w:rPr>
      <w:rFonts w:hint="eastAsia" w:ascii="Book Antiqua" w:hAnsi="Book Antiqua" w:eastAsia="黑体" w:cs="Book Antiqua"/>
      <w:bCs/>
      <w:kern w:val="0"/>
      <w:sz w:val="36"/>
      <w:szCs w:val="36"/>
      <w:lang w:eastAsia="en-US"/>
    </w:rPr>
  </w:style>
  <w:style w:type="paragraph" w:styleId="5">
    <w:name w:val="heading 3"/>
    <w:basedOn w:val="1"/>
    <w:next w:val="1"/>
    <w:link w:val="18"/>
    <w:qFormat/>
    <w:uiPriority w:val="0"/>
    <w:pPr>
      <w:keepNext/>
      <w:keepLines/>
      <w:widowControl/>
      <w:numPr>
        <w:ilvl w:val="2"/>
        <w:numId w:val="1"/>
      </w:numPr>
      <w:topLinePunct/>
      <w:adjustRightInd w:val="0"/>
      <w:snapToGrid w:val="0"/>
      <w:spacing w:before="200" w:after="160" w:line="240" w:lineRule="atLeast"/>
      <w:jc w:val="left"/>
      <w:outlineLvl w:val="2"/>
    </w:pPr>
    <w:rPr>
      <w:rFonts w:hint="eastAsia" w:ascii="Book Antiqua" w:hAnsi="Book Antiqua" w:eastAsia="黑体" w:cs="宋体"/>
      <w:kern w:val="0"/>
      <w:sz w:val="32"/>
      <w:szCs w:val="32"/>
    </w:rPr>
  </w:style>
  <w:style w:type="paragraph" w:styleId="6">
    <w:name w:val="heading 4"/>
    <w:basedOn w:val="1"/>
    <w:next w:val="1"/>
    <w:link w:val="19"/>
    <w:qFormat/>
    <w:uiPriority w:val="0"/>
    <w:pPr>
      <w:keepNext/>
      <w:keepLines/>
      <w:widowControl/>
      <w:numPr>
        <w:ilvl w:val="3"/>
        <w:numId w:val="1"/>
      </w:numPr>
      <w:topLinePunct/>
      <w:adjustRightInd w:val="0"/>
      <w:snapToGrid w:val="0"/>
      <w:spacing w:before="160" w:after="160" w:line="240" w:lineRule="atLeast"/>
      <w:jc w:val="left"/>
      <w:outlineLvl w:val="3"/>
    </w:pPr>
    <w:rPr>
      <w:rFonts w:hint="eastAsia" w:ascii="Book Antiqua" w:hAnsi="Book Antiqua" w:eastAsia="黑体" w:cs="宋体"/>
      <w:kern w:val="0"/>
      <w:sz w:val="28"/>
      <w:szCs w:val="28"/>
    </w:rPr>
  </w:style>
  <w:style w:type="paragraph" w:styleId="7">
    <w:name w:val="heading 5"/>
    <w:basedOn w:val="1"/>
    <w:next w:val="1"/>
    <w:link w:val="20"/>
    <w:qFormat/>
    <w:uiPriority w:val="0"/>
    <w:pPr>
      <w:keepNext/>
      <w:keepLines/>
      <w:widowControl/>
      <w:numPr>
        <w:ilvl w:val="4"/>
        <w:numId w:val="1"/>
      </w:numPr>
      <w:topLinePunct/>
      <w:adjustRightInd w:val="0"/>
      <w:snapToGrid w:val="0"/>
      <w:spacing w:before="160" w:after="160" w:line="240" w:lineRule="atLeast"/>
      <w:jc w:val="left"/>
      <w:outlineLvl w:val="4"/>
    </w:pPr>
    <w:rPr>
      <w:rFonts w:hint="eastAsia" w:ascii="Book Antiqua" w:hAnsi="Book Antiqua" w:eastAsia="黑体" w:cs="宋体"/>
      <w:kern w:val="0"/>
      <w:sz w:val="24"/>
    </w:rPr>
  </w:style>
  <w:style w:type="character" w:default="1" w:styleId="14">
    <w:name w:val="Default Paragraph Font"/>
    <w:semiHidden/>
    <w:unhideWhenUsed/>
    <w:qFormat/>
    <w:uiPriority w:val="1"/>
  </w:style>
  <w:style w:type="table" w:default="1" w:styleId="1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unhideWhenUsed/>
    <w:qFormat/>
    <w:uiPriority w:val="99"/>
    <w:pPr>
      <w:widowControl w:val="0"/>
      <w:snapToGrid/>
      <w:spacing w:after="120" w:line="240" w:lineRule="auto"/>
      <w:ind w:left="420" w:leftChars="200" w:firstLine="420" w:firstLineChars="200"/>
    </w:pPr>
    <w:rPr>
      <w:rFonts w:asciiTheme="minorHAnsi" w:hAnsiTheme="minorHAnsi" w:eastAsiaTheme="minorEastAsia"/>
      <w:spacing w:val="0"/>
      <w:sz w:val="21"/>
      <w:szCs w:val="24"/>
    </w:rPr>
  </w:style>
  <w:style w:type="paragraph" w:styleId="3">
    <w:name w:val="Body Text Indent"/>
    <w:basedOn w:val="1"/>
    <w:qFormat/>
    <w:uiPriority w:val="0"/>
    <w:pPr>
      <w:spacing w:after="120"/>
      <w:ind w:left="420" w:leftChars="200"/>
    </w:pPr>
    <w:rPr>
      <w:lang w:val="zh-CN"/>
    </w:rPr>
  </w:style>
  <w:style w:type="paragraph" w:styleId="8">
    <w:name w:val="Normal Indent"/>
    <w:basedOn w:val="1"/>
    <w:qFormat/>
    <w:uiPriority w:val="99"/>
    <w:pPr>
      <w:ind w:firstLine="420" w:firstLineChars="200"/>
    </w:pPr>
  </w:style>
  <w:style w:type="paragraph" w:styleId="9">
    <w:name w:val="Plain Text"/>
    <w:basedOn w:val="1"/>
    <w:next w:val="1"/>
    <w:qFormat/>
    <w:uiPriority w:val="0"/>
    <w:rPr>
      <w:rFonts w:ascii="宋体" w:hAnsi="Courier New"/>
      <w:szCs w:val="20"/>
    </w:rPr>
  </w:style>
  <w:style w:type="paragraph" w:styleId="10">
    <w:name w:val="Balloon Text"/>
    <w:basedOn w:val="1"/>
    <w:link w:val="39"/>
    <w:qFormat/>
    <w:uiPriority w:val="0"/>
    <w:rPr>
      <w:sz w:val="18"/>
      <w:szCs w:val="18"/>
    </w:rPr>
  </w:style>
  <w:style w:type="paragraph" w:styleId="11">
    <w:name w:val="footer"/>
    <w:basedOn w:val="1"/>
    <w:link w:val="16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2">
    <w:name w:val="header"/>
    <w:basedOn w:val="1"/>
    <w:link w:val="15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15">
    <w:name w:val="页眉 Char"/>
    <w:basedOn w:val="14"/>
    <w:link w:val="12"/>
    <w:qFormat/>
    <w:uiPriority w:val="0"/>
    <w:rPr>
      <w:kern w:val="2"/>
      <w:sz w:val="18"/>
      <w:szCs w:val="18"/>
    </w:rPr>
  </w:style>
  <w:style w:type="character" w:customStyle="1" w:styleId="16">
    <w:name w:val="页脚 Char"/>
    <w:basedOn w:val="14"/>
    <w:link w:val="11"/>
    <w:qFormat/>
    <w:uiPriority w:val="0"/>
    <w:rPr>
      <w:kern w:val="2"/>
      <w:sz w:val="18"/>
      <w:szCs w:val="18"/>
    </w:rPr>
  </w:style>
  <w:style w:type="character" w:customStyle="1" w:styleId="17">
    <w:name w:val="标题 2 Char"/>
    <w:basedOn w:val="14"/>
    <w:link w:val="4"/>
    <w:qFormat/>
    <w:uiPriority w:val="0"/>
    <w:rPr>
      <w:rFonts w:ascii="Book Antiqua" w:hAnsi="Book Antiqua" w:eastAsia="黑体" w:cs="Book Antiqua"/>
      <w:bCs/>
      <w:sz w:val="36"/>
      <w:szCs w:val="36"/>
      <w:lang w:eastAsia="en-US"/>
    </w:rPr>
  </w:style>
  <w:style w:type="character" w:customStyle="1" w:styleId="18">
    <w:name w:val="标题 3 Char"/>
    <w:basedOn w:val="14"/>
    <w:link w:val="5"/>
    <w:qFormat/>
    <w:uiPriority w:val="0"/>
    <w:rPr>
      <w:rFonts w:ascii="Book Antiqua" w:hAnsi="Book Antiqua" w:eastAsia="黑体" w:cs="宋体"/>
      <w:sz w:val="32"/>
      <w:szCs w:val="32"/>
    </w:rPr>
  </w:style>
  <w:style w:type="character" w:customStyle="1" w:styleId="19">
    <w:name w:val="标题 4 Char"/>
    <w:basedOn w:val="14"/>
    <w:link w:val="6"/>
    <w:qFormat/>
    <w:uiPriority w:val="0"/>
    <w:rPr>
      <w:rFonts w:ascii="Book Antiqua" w:hAnsi="Book Antiqua" w:eastAsia="黑体" w:cs="宋体"/>
      <w:sz w:val="28"/>
      <w:szCs w:val="28"/>
    </w:rPr>
  </w:style>
  <w:style w:type="character" w:customStyle="1" w:styleId="20">
    <w:name w:val="标题 5 Char"/>
    <w:basedOn w:val="14"/>
    <w:link w:val="7"/>
    <w:qFormat/>
    <w:uiPriority w:val="0"/>
    <w:rPr>
      <w:rFonts w:ascii="Book Antiqua" w:hAnsi="Book Antiqua" w:eastAsia="黑体" w:cs="宋体"/>
      <w:sz w:val="24"/>
      <w:szCs w:val="24"/>
    </w:rPr>
  </w:style>
  <w:style w:type="paragraph" w:styleId="21">
    <w:name w:val="List Paragraph"/>
    <w:basedOn w:val="1"/>
    <w:link w:val="22"/>
    <w:qFormat/>
    <w:uiPriority w:val="34"/>
    <w:pPr>
      <w:ind w:firstLine="420" w:firstLineChars="200"/>
    </w:pPr>
    <w:rPr>
      <w:rFonts w:asciiTheme="minorHAnsi" w:hAnsiTheme="minorHAnsi" w:eastAsiaTheme="minorEastAsia" w:cstheme="minorBidi"/>
      <w:szCs w:val="22"/>
    </w:rPr>
  </w:style>
  <w:style w:type="character" w:customStyle="1" w:styleId="22">
    <w:name w:val="列出段落 Char"/>
    <w:link w:val="21"/>
    <w:qFormat/>
    <w:uiPriority w:val="34"/>
    <w:rPr>
      <w:rFonts w:asciiTheme="minorHAnsi" w:hAnsiTheme="minorHAnsi" w:eastAsiaTheme="minorEastAsia" w:cstheme="minorBidi"/>
      <w:kern w:val="2"/>
      <w:sz w:val="21"/>
      <w:szCs w:val="22"/>
    </w:rPr>
  </w:style>
  <w:style w:type="character" w:customStyle="1" w:styleId="23">
    <w:name w:val="Item Step in table Char Char"/>
    <w:link w:val="24"/>
    <w:qFormat/>
    <w:uiPriority w:val="0"/>
    <w:rPr>
      <w:rFonts w:cs="Arial"/>
      <w:bCs/>
      <w:szCs w:val="28"/>
    </w:rPr>
  </w:style>
  <w:style w:type="paragraph" w:customStyle="1" w:styleId="24">
    <w:name w:val="Item Step in table"/>
    <w:basedOn w:val="7"/>
    <w:link w:val="23"/>
    <w:qFormat/>
    <w:uiPriority w:val="0"/>
    <w:pPr>
      <w:numPr>
        <w:ilvl w:val="0"/>
        <w:numId w:val="0"/>
      </w:numPr>
      <w:tabs>
        <w:tab w:val="left" w:pos="420"/>
      </w:tabs>
      <w:spacing w:before="80" w:after="80" w:line="240" w:lineRule="auto"/>
      <w:ind w:left="420" w:hanging="420"/>
    </w:pPr>
    <w:rPr>
      <w:rFonts w:hint="default" w:ascii="Times New Roman" w:hAnsi="Times New Roman" w:eastAsia="宋体" w:cs="Arial"/>
      <w:bCs/>
      <w:sz w:val="20"/>
      <w:szCs w:val="28"/>
    </w:rPr>
  </w:style>
  <w:style w:type="paragraph" w:customStyle="1" w:styleId="25">
    <w:name w:val="Block Label"/>
    <w:basedOn w:val="1"/>
    <w:next w:val="1"/>
    <w:qFormat/>
    <w:uiPriority w:val="0"/>
    <w:pPr>
      <w:keepNext/>
      <w:keepLines/>
      <w:widowControl/>
      <w:numPr>
        <w:ilvl w:val="5"/>
        <w:numId w:val="1"/>
      </w:numPr>
      <w:topLinePunct/>
      <w:adjustRightInd w:val="0"/>
      <w:snapToGrid w:val="0"/>
      <w:spacing w:before="300" w:after="80" w:line="240" w:lineRule="atLeast"/>
      <w:jc w:val="left"/>
    </w:pPr>
    <w:rPr>
      <w:rFonts w:hint="eastAsia" w:ascii="Book Antiqua" w:hAnsi="Book Antiqua" w:eastAsia="黑体" w:cs="Book Antiqua"/>
      <w:bCs/>
      <w:kern w:val="0"/>
      <w:sz w:val="26"/>
      <w:szCs w:val="26"/>
    </w:rPr>
  </w:style>
  <w:style w:type="paragraph" w:customStyle="1" w:styleId="26">
    <w:name w:val="Table Description"/>
    <w:basedOn w:val="1"/>
    <w:next w:val="1"/>
    <w:qFormat/>
    <w:uiPriority w:val="0"/>
    <w:pPr>
      <w:keepNext/>
      <w:widowControl/>
      <w:numPr>
        <w:ilvl w:val="8"/>
        <w:numId w:val="1"/>
      </w:numPr>
      <w:topLinePunct/>
      <w:adjustRightInd w:val="0"/>
      <w:snapToGrid w:val="0"/>
      <w:spacing w:before="320" w:after="80" w:line="240" w:lineRule="atLeast"/>
      <w:jc w:val="left"/>
    </w:pPr>
    <w:rPr>
      <w:rFonts w:hint="eastAsia" w:eastAsia="黑体" w:cs="Arial"/>
      <w:spacing w:val="-4"/>
      <w:szCs w:val="21"/>
    </w:rPr>
  </w:style>
  <w:style w:type="character" w:customStyle="1" w:styleId="27">
    <w:name w:val="Table Text Char"/>
    <w:link w:val="28"/>
    <w:qFormat/>
    <w:uiPriority w:val="0"/>
    <w:rPr>
      <w:rFonts w:cs="Arial"/>
      <w:szCs w:val="21"/>
    </w:rPr>
  </w:style>
  <w:style w:type="paragraph" w:customStyle="1" w:styleId="28">
    <w:name w:val="Table Text"/>
    <w:basedOn w:val="1"/>
    <w:link w:val="27"/>
    <w:qFormat/>
    <w:uiPriority w:val="0"/>
    <w:pPr>
      <w:topLinePunct/>
      <w:adjustRightInd w:val="0"/>
      <w:snapToGrid w:val="0"/>
      <w:spacing w:before="80" w:after="80" w:line="240" w:lineRule="atLeast"/>
      <w:jc w:val="left"/>
    </w:pPr>
    <w:rPr>
      <w:rFonts w:cs="Arial"/>
      <w:kern w:val="0"/>
      <w:sz w:val="20"/>
      <w:szCs w:val="21"/>
    </w:rPr>
  </w:style>
  <w:style w:type="paragraph" w:customStyle="1" w:styleId="29">
    <w:name w:val="Step"/>
    <w:basedOn w:val="1"/>
    <w:qFormat/>
    <w:uiPriority w:val="0"/>
    <w:pPr>
      <w:widowControl/>
      <w:numPr>
        <w:ilvl w:val="6"/>
        <w:numId w:val="1"/>
      </w:numPr>
      <w:topLinePunct/>
      <w:adjustRightInd w:val="0"/>
      <w:snapToGrid w:val="0"/>
      <w:spacing w:before="160" w:after="160" w:line="240" w:lineRule="atLeast"/>
      <w:jc w:val="left"/>
    </w:pPr>
    <w:rPr>
      <w:rFonts w:hint="eastAsia" w:cs="Arial"/>
      <w:snapToGrid w:val="0"/>
      <w:kern w:val="0"/>
      <w:szCs w:val="21"/>
    </w:rPr>
  </w:style>
  <w:style w:type="paragraph" w:customStyle="1" w:styleId="30">
    <w:name w:val="CAUTION Text Step"/>
    <w:basedOn w:val="1"/>
    <w:qFormat/>
    <w:uiPriority w:val="0"/>
    <w:pPr>
      <w:keepNext/>
      <w:keepLines/>
      <w:widowControl/>
      <w:numPr>
        <w:ilvl w:val="5"/>
        <w:numId w:val="2"/>
      </w:numPr>
      <w:pBdr>
        <w:bottom w:val="single" w:color="auto" w:sz="12" w:space="4"/>
      </w:pBdr>
      <w:topLinePunct/>
      <w:adjustRightInd w:val="0"/>
      <w:snapToGrid w:val="0"/>
      <w:spacing w:before="80" w:after="80" w:line="240" w:lineRule="atLeast"/>
      <w:jc w:val="left"/>
    </w:pPr>
    <w:rPr>
      <w:rFonts w:hint="eastAsia" w:eastAsia="楷体_GB2312" w:cs="Arial"/>
      <w:iCs/>
      <w:szCs w:val="21"/>
    </w:rPr>
  </w:style>
  <w:style w:type="paragraph" w:customStyle="1" w:styleId="31">
    <w:name w:val="Sub Item Step in Table"/>
    <w:qFormat/>
    <w:uiPriority w:val="0"/>
    <w:pPr>
      <w:numPr>
        <w:ilvl w:val="1"/>
        <w:numId w:val="2"/>
      </w:numPr>
      <w:adjustRightInd w:val="0"/>
      <w:snapToGrid w:val="0"/>
      <w:spacing w:before="80" w:after="80" w:line="240" w:lineRule="atLeast"/>
    </w:pPr>
    <w:rPr>
      <w:rFonts w:hint="eastAsia" w:ascii="Times New Roman" w:hAnsi="Times New Roman" w:eastAsia="宋体" w:cs="Arial"/>
      <w:sz w:val="21"/>
      <w:szCs w:val="21"/>
      <w:lang w:val="en-US" w:eastAsia="zh-CN" w:bidi="ar-SA"/>
    </w:rPr>
  </w:style>
  <w:style w:type="paragraph" w:customStyle="1" w:styleId="32">
    <w:name w:val="Sub Item List in Table"/>
    <w:basedOn w:val="1"/>
    <w:qFormat/>
    <w:uiPriority w:val="0"/>
    <w:pPr>
      <w:widowControl/>
      <w:numPr>
        <w:ilvl w:val="2"/>
        <w:numId w:val="2"/>
      </w:numPr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szCs w:val="21"/>
    </w:rPr>
  </w:style>
  <w:style w:type="paragraph" w:customStyle="1" w:styleId="33">
    <w:name w:val="Sub Item Step in Table List"/>
    <w:qFormat/>
    <w:uiPriority w:val="0"/>
    <w:pPr>
      <w:numPr>
        <w:ilvl w:val="3"/>
        <w:numId w:val="2"/>
      </w:numPr>
      <w:adjustRightInd w:val="0"/>
      <w:snapToGrid w:val="0"/>
      <w:spacing w:before="80" w:after="80" w:line="240" w:lineRule="atLeast"/>
    </w:pPr>
    <w:rPr>
      <w:rFonts w:hint="eastAsia" w:ascii="Times New Roman" w:hAnsi="Times New Roman" w:eastAsia="宋体" w:cs="Arial"/>
      <w:sz w:val="21"/>
      <w:szCs w:val="21"/>
      <w:lang w:val="en-US" w:eastAsia="zh-CN" w:bidi="ar-SA"/>
    </w:rPr>
  </w:style>
  <w:style w:type="paragraph" w:customStyle="1" w:styleId="34">
    <w:name w:val="Item List in Table"/>
    <w:basedOn w:val="1"/>
    <w:qFormat/>
    <w:uiPriority w:val="99"/>
    <w:pPr>
      <w:widowControl/>
      <w:numPr>
        <w:ilvl w:val="0"/>
        <w:numId w:val="2"/>
      </w:numPr>
      <w:tabs>
        <w:tab w:val="left" w:pos="284"/>
      </w:tabs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kern w:val="0"/>
      <w:szCs w:val="21"/>
    </w:rPr>
  </w:style>
  <w:style w:type="paragraph" w:customStyle="1" w:styleId="35">
    <w:name w:val="Figure Description"/>
    <w:next w:val="1"/>
    <w:qFormat/>
    <w:uiPriority w:val="0"/>
    <w:pPr>
      <w:keepNext/>
      <w:numPr>
        <w:ilvl w:val="7"/>
        <w:numId w:val="1"/>
      </w:numPr>
      <w:adjustRightInd w:val="0"/>
      <w:snapToGrid w:val="0"/>
      <w:spacing w:before="320" w:after="80" w:line="240" w:lineRule="atLeast"/>
    </w:pPr>
    <w:rPr>
      <w:rFonts w:ascii="Times New Roman" w:hAnsi="Times New Roman" w:eastAsia="黑体" w:cs="Arial"/>
      <w:spacing w:val="-4"/>
      <w:kern w:val="2"/>
      <w:sz w:val="21"/>
      <w:szCs w:val="21"/>
      <w:lang w:val="en-US" w:eastAsia="zh-CN" w:bidi="ar-SA"/>
    </w:rPr>
  </w:style>
  <w:style w:type="paragraph" w:customStyle="1" w:styleId="36">
    <w:name w:val="Notes Text Step"/>
    <w:basedOn w:val="30"/>
    <w:qFormat/>
    <w:uiPriority w:val="0"/>
    <w:pPr>
      <w:numPr>
        <w:ilvl w:val="6"/>
      </w:numPr>
      <w:pBdr>
        <w:bottom w:val="none" w:color="auto" w:sz="0" w:space="0"/>
      </w:pBdr>
      <w:spacing w:before="40" w:line="200" w:lineRule="atLeast"/>
    </w:pPr>
    <w:rPr>
      <w:sz w:val="18"/>
      <w:szCs w:val="18"/>
    </w:rPr>
  </w:style>
  <w:style w:type="paragraph" w:customStyle="1" w:styleId="37">
    <w:name w:val="Notes Text Step in Table"/>
    <w:qFormat/>
    <w:uiPriority w:val="0"/>
    <w:pPr>
      <w:numPr>
        <w:ilvl w:val="7"/>
        <w:numId w:val="2"/>
      </w:numPr>
      <w:spacing w:before="40" w:after="80" w:line="200" w:lineRule="atLeast"/>
    </w:pPr>
    <w:rPr>
      <w:rFonts w:ascii="Times New Roman" w:hAnsi="Times New Roman" w:eastAsia="楷体_GB2312" w:cs="楷体_GB2312"/>
      <w:sz w:val="18"/>
      <w:szCs w:val="18"/>
      <w:lang w:val="en-US" w:eastAsia="zh-CN" w:bidi="ar-SA"/>
    </w:rPr>
  </w:style>
  <w:style w:type="paragraph" w:customStyle="1" w:styleId="38">
    <w:name w:val="Sub Item List in Table Step"/>
    <w:basedOn w:val="1"/>
    <w:qFormat/>
    <w:uiPriority w:val="0"/>
    <w:pPr>
      <w:widowControl/>
      <w:numPr>
        <w:ilvl w:val="4"/>
        <w:numId w:val="2"/>
      </w:numPr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szCs w:val="21"/>
    </w:rPr>
  </w:style>
  <w:style w:type="character" w:customStyle="1" w:styleId="39">
    <w:name w:val="批注框文本 Char"/>
    <w:basedOn w:val="14"/>
    <w:link w:val="10"/>
    <w:qFormat/>
    <w:uiPriority w:val="0"/>
    <w:rPr>
      <w:kern w:val="2"/>
      <w:sz w:val="18"/>
      <w:szCs w:val="18"/>
    </w:rPr>
  </w:style>
  <w:style w:type="paragraph" w:customStyle="1" w:styleId="40">
    <w:name w:val="样式 宋体 小四 行距: 1.5 倍行距 首行缩进:  2 字符"/>
    <w:basedOn w:val="1"/>
    <w:qFormat/>
    <w:uiPriority w:val="99"/>
    <w:pPr>
      <w:spacing w:line="360" w:lineRule="auto"/>
      <w:ind w:firstLine="480" w:firstLineChars="200"/>
    </w:pPr>
    <w:rPr>
      <w:rFonts w:ascii="Times New Roman" w:hAnsi="Times New Roman" w:cs="宋体"/>
    </w:rPr>
  </w:style>
  <w:style w:type="character" w:customStyle="1" w:styleId="41">
    <w:name w:val="font21"/>
    <w:basedOn w:val="14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42">
    <w:name w:val="font31"/>
    <w:basedOn w:val="14"/>
    <w:qFormat/>
    <w:uiPriority w:val="0"/>
    <w:rPr>
      <w:rFonts w:hint="default" w:ascii="Times New Roman" w:hAnsi="Times New Roman" w:cs="Times New Roman"/>
      <w:color w:val="000000"/>
      <w:sz w:val="20"/>
      <w:szCs w:val="20"/>
      <w:u w:val="none"/>
    </w:rPr>
  </w:style>
  <w:style w:type="character" w:customStyle="1" w:styleId="43">
    <w:name w:val="font41"/>
    <w:basedOn w:val="14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  <w:vertAlign w:val="superscript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460</Words>
  <Characters>555</Characters>
  <Lines>61</Lines>
  <Paragraphs>17</Paragraphs>
  <TotalTime>9</TotalTime>
  <ScaleCrop>false</ScaleCrop>
  <LinksUpToDate>false</LinksUpToDate>
  <CharactersWithSpaces>613</CharactersWithSpaces>
  <Application>WPS Office_12.1.0.15946_F1E327BC-269C-435d-A152-05C5408002CA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2022-10-19T02:55:00Z</dcterms:created>
  <dc:creator>Administrator</dc:creator>
  <cp:lastModifiedBy>鲸落</cp:lastModifiedBy>
  <cp:lastPrinted>2022-10-20T06:50:00Z</cp:lastPrinted>
  <dcterms:modified xsi:type="dcterms:W3CDTF">2023-12-12T11:10:50Z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2052-12.1.0.15946</vt:lpwstr>
  </property>
  <property fmtid="{D5CDD505-2E9C-101B-9397-08002B2CF9AE}" pid="3" name="ICV">
    <vt:lpwstr>B75484C30A0D48A998196F431A9A3E69</vt:lpwstr>
  </property>
</Properties>
</file>