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3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广州交投集团营运道路 2023-2026 年度机电养护综合管养项目-广东省连平（赣粤界）至从化公路工程</w:t>
      </w:r>
      <w:bookmarkStart w:id="44" w:name="_GoBack"/>
      <w:bookmarkEnd w:id="44"/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天线设备采购意向征集公告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1.1项目名称：广州交投集团营运道路 2023-2026 年度机电养护综合管养项目-广东省连平（赣粤界）至从化公路工程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978"/>
        <w:gridCol w:w="1097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409-2-1-1-3-1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路侧读写单元（含天线控制器）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pStyle w:val="7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7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20000.00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eastAsia" w:ascii="黑体" w:hAnsi="黑体"/>
          <w:sz w:val="24"/>
          <w:szCs w:val="24"/>
          <w:lang w:eastAsia="zh-CN"/>
        </w:rPr>
        <w:t>车道RSU天线（相控阵）</w:t>
      </w:r>
    </w:p>
    <w:p>
      <w:pPr>
        <w:pStyle w:val="4"/>
        <w:numPr>
          <w:ilvl w:val="0"/>
          <w:numId w:val="5"/>
        </w:numPr>
        <w:ind w:left="0" w:firstLine="0"/>
        <w:rPr>
          <w:sz w:val="24"/>
          <w:szCs w:val="24"/>
        </w:rPr>
      </w:pPr>
      <w:bookmarkStart w:id="0" w:name="_Toc467589880"/>
      <w:bookmarkStart w:id="1" w:name="_Toc519076072"/>
      <w:bookmarkStart w:id="2" w:name="_Toc289417427"/>
      <w:bookmarkStart w:id="3" w:name="_Toc289280082"/>
      <w:r>
        <w:rPr>
          <w:rFonts w:hint="eastAsia"/>
          <w:sz w:val="24"/>
          <w:szCs w:val="24"/>
        </w:rPr>
        <w:t>基本功能</w:t>
      </w:r>
      <w:bookmarkEnd w:id="0"/>
      <w:bookmarkEnd w:id="1"/>
    </w:p>
    <w:p>
      <w:pPr>
        <w:ind w:firstLine="0" w:firstLineChars="0"/>
      </w:pPr>
      <w:r>
        <w:t> RSU</w:t>
      </w:r>
      <w:r>
        <w:rPr>
          <w:rFonts w:hint="eastAsia"/>
        </w:rPr>
        <w:t>是符合</w:t>
      </w:r>
      <w:r>
        <w:t>GB/T 20851.1-2019</w:t>
      </w:r>
      <w:r>
        <w:rPr>
          <w:rFonts w:hint="eastAsia"/>
        </w:rPr>
        <w:t>《电子收费专用短程通信》、《收费公路联网电子不停车收费技术要求》、《收费公路联网收费技术要求》相关要求的合格产品。</w:t>
      </w:r>
    </w:p>
    <w:p>
      <w:pPr>
        <w:ind w:firstLine="0" w:firstLineChars="0"/>
        <w:rPr>
          <w:b/>
        </w:rPr>
      </w:pPr>
      <w:r>
        <w:rPr>
          <w:rFonts w:hint="eastAsia"/>
          <w:b/>
        </w:rPr>
        <w:t>基本功能性能：</w:t>
      </w:r>
    </w:p>
    <w:p>
      <w:pPr>
        <w:numPr>
          <w:ilvl w:val="0"/>
          <w:numId w:val="6"/>
        </w:numPr>
        <w:ind w:left="360" w:hanging="315" w:hangingChars="150"/>
        <w:rPr>
          <w:rFonts w:ascii="华文细黑" w:hAnsi="华文细黑"/>
        </w:rPr>
      </w:pPr>
      <w:r>
        <w:rPr>
          <w:rFonts w:hint="eastAsia" w:ascii="华文细黑" w:hAnsi="华文细黑"/>
        </w:rPr>
        <w:t>采用相控阵技术</w:t>
      </w:r>
    </w:p>
    <w:p>
      <w:pPr>
        <w:numPr>
          <w:ilvl w:val="0"/>
          <w:numId w:val="6"/>
        </w:numPr>
        <w:ind w:left="360" w:hanging="315" w:hangingChars="150"/>
        <w:rPr>
          <w:rFonts w:ascii="华文细黑" w:hAnsi="华文细黑"/>
        </w:rPr>
      </w:pPr>
      <w:r>
        <w:rPr>
          <w:rFonts w:ascii="华文细黑" w:hAnsi="华文细黑"/>
        </w:rPr>
        <w:t>RSU</w:t>
      </w:r>
      <w:r>
        <w:rPr>
          <w:rFonts w:hint="eastAsia" w:ascii="华文细黑" w:hAnsi="华文细黑"/>
        </w:rPr>
        <w:t>由车道天线、天线控制器及电源组件等功能模块组成；</w:t>
      </w:r>
    </w:p>
    <w:p>
      <w:pPr>
        <w:numPr>
          <w:ilvl w:val="0"/>
          <w:numId w:val="6"/>
        </w:numPr>
        <w:ind w:left="360" w:hanging="315" w:hangingChars="150"/>
        <w:rPr>
          <w:rFonts w:ascii="华文细黑" w:hAnsi="华文细黑"/>
        </w:rPr>
      </w:pPr>
      <w:r>
        <w:rPr>
          <w:rFonts w:ascii="华文细黑" w:hAnsi="华文细黑"/>
        </w:rPr>
        <w:t>RSU</w:t>
      </w:r>
      <w:r>
        <w:rPr>
          <w:rFonts w:hint="eastAsia" w:ascii="华文细黑" w:hAnsi="华文细黑"/>
        </w:rPr>
        <w:t>提供以太网及标准串行接口，与车道主控制器连接；</w:t>
      </w:r>
    </w:p>
    <w:p>
      <w:pPr>
        <w:numPr>
          <w:ilvl w:val="0"/>
          <w:numId w:val="6"/>
        </w:numPr>
        <w:ind w:left="360" w:hanging="315" w:hangingChars="150"/>
        <w:rPr>
          <w:rFonts w:ascii="华文细黑" w:hAnsi="华文细黑"/>
        </w:rPr>
      </w:pPr>
      <w:r>
        <w:rPr>
          <w:rFonts w:ascii="华文细黑" w:hAnsi="华文细黑"/>
        </w:rPr>
        <w:t>RSU</w:t>
      </w:r>
      <w:r>
        <w:rPr>
          <w:rFonts w:hint="eastAsia" w:ascii="华文细黑" w:hAnsi="华文细黑"/>
        </w:rPr>
        <w:t>内置</w:t>
      </w:r>
      <w:r>
        <w:rPr>
          <w:rFonts w:ascii="华文细黑" w:hAnsi="华文细黑"/>
        </w:rPr>
        <w:t>4</w:t>
      </w:r>
      <w:r>
        <w:rPr>
          <w:rFonts w:hint="eastAsia" w:ascii="华文细黑" w:hAnsi="华文细黑"/>
        </w:rPr>
        <w:t>个符合</w:t>
      </w:r>
      <w:r>
        <w:rPr>
          <w:rFonts w:ascii="华文细黑" w:hAnsi="华文细黑"/>
        </w:rPr>
        <w:t>ISO/IEC 7816</w:t>
      </w:r>
      <w:r>
        <w:rPr>
          <w:rFonts w:hint="eastAsia" w:ascii="华文细黑" w:hAnsi="华文细黑"/>
        </w:rPr>
        <w:t>标准的</w:t>
      </w:r>
      <w:r>
        <w:rPr>
          <w:rFonts w:ascii="华文细黑" w:hAnsi="华文细黑"/>
        </w:rPr>
        <w:t>PSAM</w:t>
      </w:r>
      <w:r>
        <w:rPr>
          <w:rFonts w:hint="eastAsia" w:ascii="华文细黑" w:hAnsi="华文细黑"/>
        </w:rPr>
        <w:t>模块；</w:t>
      </w:r>
    </w:p>
    <w:p>
      <w:pPr>
        <w:numPr>
          <w:ilvl w:val="0"/>
          <w:numId w:val="6"/>
        </w:numPr>
        <w:ind w:left="360" w:hanging="315" w:hangingChars="150"/>
        <w:rPr>
          <w:rFonts w:ascii="华文细黑" w:hAnsi="华文细黑"/>
        </w:rPr>
      </w:pPr>
      <w:r>
        <w:rPr>
          <w:rFonts w:hint="eastAsia" w:ascii="华文细黑" w:hAnsi="华文细黑"/>
        </w:rPr>
        <w:t>在相邻两条或两条以上ETC 车道情况下，各车道读写器的天线工作频率能交叉配置，以避免相邻频谱干扰；</w:t>
      </w:r>
    </w:p>
    <w:p>
      <w:pPr>
        <w:numPr>
          <w:ilvl w:val="0"/>
          <w:numId w:val="6"/>
        </w:numPr>
        <w:ind w:left="360" w:hanging="315" w:hangingChars="150"/>
        <w:rPr>
          <w:rFonts w:ascii="华文细黑" w:hAnsi="华文细黑"/>
        </w:rPr>
      </w:pPr>
      <w:r>
        <w:rPr>
          <w:rFonts w:ascii="华文细黑" w:hAnsi="华文细黑"/>
        </w:rPr>
        <w:t>RSU</w:t>
      </w:r>
      <w:r>
        <w:rPr>
          <w:rFonts w:hint="eastAsia" w:ascii="华文细黑" w:hAnsi="华文细黑"/>
        </w:rPr>
        <w:t>支持高安全性电子钱包交易方式，符合</w:t>
      </w:r>
      <w:r>
        <w:rPr>
          <w:rFonts w:ascii="华文细黑" w:hAnsi="华文细黑"/>
        </w:rPr>
        <w:t>PBOC</w:t>
      </w:r>
      <w:r>
        <w:rPr>
          <w:rFonts w:hint="eastAsia" w:ascii="华文细黑" w:hAnsi="华文细黑"/>
        </w:rPr>
        <w:t>金融卡交易规范；</w:t>
      </w:r>
    </w:p>
    <w:p>
      <w:pPr>
        <w:numPr>
          <w:ilvl w:val="0"/>
          <w:numId w:val="6"/>
        </w:numPr>
        <w:ind w:left="342" w:hanging="297" w:hangingChars="150"/>
        <w:rPr>
          <w:rFonts w:ascii="华文细黑" w:hAnsi="华文细黑"/>
          <w:spacing w:val="-6"/>
        </w:rPr>
      </w:pPr>
      <w:r>
        <w:rPr>
          <w:rFonts w:hint="eastAsia" w:ascii="华文细黑" w:hAnsi="华文细黑"/>
          <w:spacing w:val="-6"/>
        </w:rPr>
        <w:t>可适应车辆通行速度≥</w:t>
      </w:r>
      <w:r>
        <w:rPr>
          <w:rFonts w:ascii="华文细黑" w:hAnsi="华文细黑"/>
          <w:spacing w:val="-6"/>
        </w:rPr>
        <w:t>70km/h</w:t>
      </w:r>
      <w:r>
        <w:rPr>
          <w:rFonts w:hint="eastAsia" w:ascii="华文细黑" w:hAnsi="华文细黑"/>
          <w:spacing w:val="-6"/>
        </w:rPr>
        <w:t>，提升通车速度的同时，能防止旁道干扰和跟车干扰；</w:t>
      </w:r>
    </w:p>
    <w:p>
      <w:pPr>
        <w:numPr>
          <w:ilvl w:val="0"/>
          <w:numId w:val="6"/>
        </w:numPr>
        <w:ind w:left="360" w:hanging="315" w:hangingChars="150"/>
        <w:rPr>
          <w:rFonts w:ascii="华文细黑" w:hAnsi="华文细黑"/>
        </w:rPr>
      </w:pPr>
      <w:r>
        <w:rPr>
          <w:rFonts w:ascii="华文细黑" w:hAnsi="华文细黑"/>
        </w:rPr>
        <w:t>RSU</w:t>
      </w:r>
      <w:r>
        <w:rPr>
          <w:rFonts w:hint="eastAsia" w:ascii="华文细黑" w:hAnsi="华文细黑"/>
        </w:rPr>
        <w:t>具备通信区域设定功能，适应各种应用场景需求；</w:t>
      </w:r>
    </w:p>
    <w:p>
      <w:pPr>
        <w:numPr>
          <w:ilvl w:val="0"/>
          <w:numId w:val="6"/>
        </w:numPr>
        <w:ind w:left="360" w:hanging="315" w:hangingChars="150"/>
        <w:rPr>
          <w:rFonts w:ascii="华文细黑" w:hAnsi="华文细黑"/>
        </w:rPr>
      </w:pPr>
      <w:r>
        <w:rPr>
          <w:rFonts w:ascii="华文细黑" w:hAnsi="华文细黑"/>
        </w:rPr>
        <w:t>RSU</w:t>
      </w:r>
      <w:r>
        <w:rPr>
          <w:rFonts w:hint="eastAsia" w:ascii="华文细黑" w:hAnsi="华文细黑"/>
        </w:rPr>
        <w:t>提供灵活可控的应用编程接口，以适应各种应用编程的需要；</w:t>
      </w:r>
    </w:p>
    <w:p>
      <w:pPr>
        <w:numPr>
          <w:ilvl w:val="0"/>
          <w:numId w:val="6"/>
        </w:numPr>
        <w:ind w:left="360" w:hanging="315" w:hangingChars="150"/>
        <w:rPr>
          <w:rFonts w:ascii="华文细黑" w:hAnsi="华文细黑"/>
        </w:rPr>
      </w:pPr>
      <w:r>
        <w:rPr>
          <w:rFonts w:ascii="华文细黑" w:hAnsi="华文细黑"/>
        </w:rPr>
        <w:t>RSU</w:t>
      </w:r>
      <w:r>
        <w:rPr>
          <w:rFonts w:hint="eastAsia" w:ascii="华文细黑" w:hAnsi="华文细黑"/>
        </w:rPr>
        <w:t>采用联机工作方式；</w:t>
      </w:r>
    </w:p>
    <w:p>
      <w:pPr>
        <w:numPr>
          <w:ilvl w:val="0"/>
          <w:numId w:val="6"/>
        </w:numPr>
        <w:ind w:left="360" w:hanging="315" w:hangingChars="150"/>
        <w:rPr>
          <w:rFonts w:ascii="华文细黑" w:hAnsi="华文细黑"/>
        </w:rPr>
      </w:pPr>
      <w:r>
        <w:rPr>
          <w:rFonts w:ascii="华文细黑" w:hAnsi="华文细黑"/>
        </w:rPr>
        <w:t>RSU</w:t>
      </w:r>
      <w:r>
        <w:rPr>
          <w:rFonts w:hint="eastAsia" w:ascii="华文细黑" w:hAnsi="华文细黑"/>
        </w:rPr>
        <w:t>的供电符合收费车道工作环境；</w:t>
      </w:r>
    </w:p>
    <w:p>
      <w:pPr>
        <w:numPr>
          <w:ilvl w:val="0"/>
          <w:numId w:val="6"/>
        </w:numPr>
        <w:ind w:left="360" w:hanging="315" w:hangingChars="150"/>
        <w:rPr>
          <w:rFonts w:hint="eastAsia" w:ascii="华文细黑" w:hAnsi="华文细黑"/>
        </w:rPr>
      </w:pPr>
      <w:r>
        <w:rPr>
          <w:rFonts w:ascii="华文细黑" w:hAnsi="华文细黑"/>
        </w:rPr>
        <w:t>RSU</w:t>
      </w:r>
      <w:r>
        <w:rPr>
          <w:rFonts w:hint="eastAsia" w:ascii="华文细黑" w:hAnsi="华文细黑"/>
        </w:rPr>
        <w:t>具备较好的抗雷击、浪涌性能；</w:t>
      </w:r>
    </w:p>
    <w:p>
      <w:pPr>
        <w:numPr>
          <w:ilvl w:val="0"/>
          <w:numId w:val="6"/>
        </w:numPr>
        <w:ind w:left="360" w:hanging="315" w:hangingChars="150"/>
        <w:rPr>
          <w:rFonts w:hint="eastAsia" w:ascii="华文细黑" w:hAnsi="华文细黑"/>
        </w:rPr>
      </w:pPr>
      <w:r>
        <w:rPr>
          <w:rFonts w:ascii="华文细黑" w:hAnsi="华文细黑"/>
        </w:rPr>
        <w:t>RSU</w:t>
      </w:r>
      <w:r>
        <w:rPr>
          <w:rFonts w:hint="eastAsia" w:ascii="华文细黑" w:hAnsi="华文细黑"/>
        </w:rPr>
        <w:t>能在收费站可能存在的各种环境下稳定工作；</w:t>
      </w:r>
    </w:p>
    <w:p>
      <w:pPr>
        <w:numPr>
          <w:ilvl w:val="0"/>
          <w:numId w:val="6"/>
        </w:numPr>
        <w:ind w:left="360" w:hanging="315" w:hangingChars="150"/>
        <w:rPr>
          <w:rFonts w:ascii="华文细黑" w:hAnsi="华文细黑"/>
        </w:rPr>
      </w:pPr>
      <w:r>
        <w:rPr>
          <w:rFonts w:ascii="华文细黑" w:hAnsi="华文细黑"/>
        </w:rPr>
        <w:t>RSU</w:t>
      </w:r>
      <w:r>
        <w:rPr>
          <w:rFonts w:hint="eastAsia" w:ascii="华文细黑" w:hAnsi="华文细黑"/>
        </w:rPr>
        <w:t>的平均无故障时间不低于</w:t>
      </w:r>
      <w:r>
        <w:rPr>
          <w:rFonts w:ascii="华文细黑" w:hAnsi="华文细黑"/>
        </w:rPr>
        <w:t>70,000</w:t>
      </w:r>
      <w:r>
        <w:rPr>
          <w:rFonts w:hint="eastAsia" w:ascii="华文细黑" w:hAnsi="华文细黑"/>
        </w:rPr>
        <w:t>小时；</w:t>
      </w:r>
    </w:p>
    <w:p>
      <w:pPr>
        <w:pStyle w:val="4"/>
        <w:numPr>
          <w:ilvl w:val="0"/>
          <w:numId w:val="5"/>
        </w:numPr>
        <w:ind w:left="0" w:firstLine="0"/>
        <w:rPr>
          <w:sz w:val="24"/>
          <w:szCs w:val="24"/>
        </w:rPr>
      </w:pPr>
      <w:bookmarkStart w:id="4" w:name="_Toc519076073"/>
      <w:bookmarkStart w:id="5" w:name="_Toc467589881"/>
      <w:r>
        <w:rPr>
          <w:rFonts w:hint="eastAsia"/>
          <w:sz w:val="24"/>
          <w:szCs w:val="24"/>
        </w:rPr>
        <w:t>安全性</w:t>
      </w:r>
      <w:bookmarkEnd w:id="4"/>
      <w:bookmarkEnd w:id="5"/>
    </w:p>
    <w:p>
      <w:pPr>
        <w:numPr>
          <w:ilvl w:val="0"/>
          <w:numId w:val="6"/>
        </w:numPr>
        <w:ind w:left="360" w:hanging="315" w:hangingChars="150"/>
        <w:rPr>
          <w:rFonts w:ascii="华文细黑" w:hAnsi="华文细黑"/>
        </w:rPr>
      </w:pPr>
      <w:r>
        <w:rPr>
          <w:rFonts w:ascii="华文细黑" w:hAnsi="华文细黑"/>
        </w:rPr>
        <w:t>RSU</w:t>
      </w:r>
      <w:r>
        <w:rPr>
          <w:rFonts w:hint="eastAsia" w:ascii="华文细黑" w:hAnsi="华文细黑"/>
        </w:rPr>
        <w:t>内置符合</w:t>
      </w:r>
      <w:r>
        <w:rPr>
          <w:rFonts w:ascii="华文细黑" w:hAnsi="华文细黑"/>
        </w:rPr>
        <w:t>JR/T 0025</w:t>
      </w:r>
      <w:r>
        <w:rPr>
          <w:rFonts w:hint="eastAsia" w:ascii="华文细黑" w:hAnsi="华文细黑"/>
        </w:rPr>
        <w:t>安全交易规范规定的</w:t>
      </w:r>
      <w:r>
        <w:rPr>
          <w:rFonts w:ascii="华文细黑" w:hAnsi="华文细黑"/>
        </w:rPr>
        <w:t>PSAM</w:t>
      </w:r>
      <w:r>
        <w:rPr>
          <w:rFonts w:hint="eastAsia" w:ascii="华文细黑" w:hAnsi="华文细黑"/>
        </w:rPr>
        <w:t>作为安全认证模块，所有的加密和认证过程均通过</w:t>
      </w:r>
      <w:r>
        <w:rPr>
          <w:rFonts w:ascii="华文细黑" w:hAnsi="华文细黑"/>
        </w:rPr>
        <w:t>PSAM</w:t>
      </w:r>
      <w:r>
        <w:rPr>
          <w:rFonts w:hint="eastAsia" w:ascii="华文细黑" w:hAnsi="华文细黑"/>
        </w:rPr>
        <w:t>的方式进行；</w:t>
      </w:r>
    </w:p>
    <w:p>
      <w:pPr>
        <w:numPr>
          <w:ilvl w:val="0"/>
          <w:numId w:val="6"/>
        </w:numPr>
        <w:ind w:left="360" w:hanging="315" w:hangingChars="150"/>
        <w:rPr>
          <w:rFonts w:ascii="华文细黑" w:hAnsi="华文细黑"/>
        </w:rPr>
      </w:pPr>
      <w:r>
        <w:rPr>
          <w:rFonts w:ascii="华文细黑" w:hAnsi="华文细黑"/>
        </w:rPr>
        <w:t>PSAM</w:t>
      </w:r>
      <w:r>
        <w:rPr>
          <w:rFonts w:hint="eastAsia" w:ascii="华文细黑" w:hAnsi="华文细黑"/>
        </w:rPr>
        <w:t>卡通信速率不低于</w:t>
      </w:r>
      <w:r>
        <w:rPr>
          <w:rFonts w:ascii="华文细黑" w:hAnsi="华文细黑"/>
        </w:rPr>
        <w:t>56kbps</w:t>
      </w:r>
      <w:r>
        <w:rPr>
          <w:rFonts w:hint="eastAsia" w:ascii="华文细黑" w:hAnsi="华文细黑"/>
        </w:rPr>
        <w:t>。</w:t>
      </w:r>
    </w:p>
    <w:p>
      <w:pPr>
        <w:pStyle w:val="4"/>
        <w:numPr>
          <w:ilvl w:val="0"/>
          <w:numId w:val="5"/>
        </w:numPr>
        <w:ind w:left="0" w:firstLine="0"/>
        <w:rPr>
          <w:rFonts w:hint="eastAsia" w:ascii="黑体" w:hAnsi="黑体"/>
          <w:b/>
          <w:bCs/>
          <w:sz w:val="24"/>
          <w:szCs w:val="24"/>
          <w:lang w:val="en-US" w:eastAsia="zh-CN"/>
        </w:rPr>
      </w:pPr>
      <w:bookmarkStart w:id="6" w:name="_Toc467589882"/>
      <w:bookmarkStart w:id="7" w:name="_Toc519076074"/>
      <w:r>
        <w:rPr>
          <w:rFonts w:hint="eastAsia" w:ascii="黑体" w:hAnsi="黑体"/>
          <w:b/>
          <w:bCs/>
          <w:sz w:val="24"/>
          <w:szCs w:val="24"/>
          <w:lang w:val="en-US" w:eastAsia="zh-CN"/>
        </w:rPr>
        <w:t>通信区域控制与OBU定位</w:t>
      </w:r>
      <w:bookmarkEnd w:id="6"/>
      <w:bookmarkEnd w:id="7"/>
    </w:p>
    <w:p>
      <w:pPr>
        <w:numPr>
          <w:ilvl w:val="0"/>
          <w:numId w:val="6"/>
        </w:numPr>
        <w:ind w:left="360" w:hanging="360" w:hangingChars="150"/>
        <w:rPr>
          <w:rFonts w:ascii="华文细黑" w:hAnsi="华文细黑" w:eastAsia="华文细黑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ascii="华文细黑" w:hAnsi="华文细黑" w:eastAsia="华文细黑"/>
          <w:b w:val="0"/>
          <w:bCs w:val="0"/>
          <w:kern w:val="2"/>
          <w:sz w:val="24"/>
          <w:szCs w:val="24"/>
          <w:lang w:val="en-US" w:eastAsia="zh-CN" w:bidi="ar-SA"/>
        </w:rPr>
        <w:t>RSU</w:t>
      </w:r>
      <w:r>
        <w:rPr>
          <w:rFonts w:hint="eastAsia" w:ascii="华文细黑" w:hAnsi="华文细黑" w:eastAsia="华文细黑"/>
          <w:b w:val="0"/>
          <w:bCs w:val="0"/>
          <w:kern w:val="2"/>
          <w:sz w:val="24"/>
          <w:szCs w:val="24"/>
          <w:lang w:val="en-US" w:eastAsia="zh-CN" w:bidi="ar-SA"/>
        </w:rPr>
        <w:t>具备相控阵功能，可根据</w:t>
      </w:r>
      <w:r>
        <w:rPr>
          <w:rFonts w:ascii="华文细黑" w:hAnsi="华文细黑" w:eastAsia="华文细黑"/>
          <w:b w:val="0"/>
          <w:bCs w:val="0"/>
          <w:kern w:val="2"/>
          <w:sz w:val="24"/>
          <w:szCs w:val="24"/>
          <w:lang w:val="en-US" w:eastAsia="zh-CN" w:bidi="ar-SA"/>
        </w:rPr>
        <w:t>OBU</w:t>
      </w:r>
      <w:r>
        <w:rPr>
          <w:rFonts w:hint="eastAsia" w:ascii="华文细黑" w:hAnsi="华文细黑" w:eastAsia="华文细黑"/>
          <w:b w:val="0"/>
          <w:bCs w:val="0"/>
          <w:kern w:val="2"/>
          <w:sz w:val="24"/>
          <w:szCs w:val="24"/>
          <w:lang w:val="en-US" w:eastAsia="zh-CN" w:bidi="ar-SA"/>
        </w:rPr>
        <w:t>定位信息调节信号波束进行跟踪，最大交易距离20</w:t>
      </w:r>
      <w:r>
        <w:rPr>
          <w:rFonts w:ascii="华文细黑" w:hAnsi="华文细黑" w:eastAsia="华文细黑"/>
          <w:b w:val="0"/>
          <w:bCs w:val="0"/>
          <w:kern w:val="2"/>
          <w:sz w:val="24"/>
          <w:szCs w:val="24"/>
          <w:lang w:val="en-US" w:eastAsia="zh-CN" w:bidi="ar-SA"/>
        </w:rPr>
        <w:t>m</w:t>
      </w:r>
      <w:r>
        <w:rPr>
          <w:rFonts w:hint="eastAsia" w:ascii="华文细黑" w:hAnsi="华文细黑" w:eastAsia="华文细黑"/>
          <w:b w:val="0"/>
          <w:bCs w:val="0"/>
          <w:kern w:val="2"/>
          <w:sz w:val="24"/>
          <w:szCs w:val="24"/>
          <w:lang w:val="en-US" w:eastAsia="zh-CN" w:bidi="ar-SA"/>
        </w:rPr>
        <w:t>，宽度可在</w:t>
      </w:r>
      <w:r>
        <w:rPr>
          <w:rFonts w:ascii="华文细黑" w:hAnsi="华文细黑" w:eastAsia="华文细黑"/>
          <w:b w:val="0"/>
          <w:bCs w:val="0"/>
          <w:kern w:val="2"/>
          <w:sz w:val="24"/>
          <w:szCs w:val="24"/>
          <w:lang w:val="en-US" w:eastAsia="zh-CN" w:bidi="ar-SA"/>
        </w:rPr>
        <w:t>2.5m～4 m</w:t>
      </w:r>
      <w:r>
        <w:rPr>
          <w:rFonts w:hint="eastAsia" w:ascii="华文细黑" w:hAnsi="华文细黑" w:eastAsia="华文细黑"/>
          <w:b w:val="0"/>
          <w:bCs w:val="0"/>
          <w:kern w:val="2"/>
          <w:sz w:val="24"/>
          <w:szCs w:val="24"/>
          <w:lang w:val="en-US" w:eastAsia="zh-CN" w:bidi="ar-SA"/>
        </w:rPr>
        <w:t>范围内通过软件调节，在提升通行速度的同时，防止跟车；</w:t>
      </w:r>
    </w:p>
    <w:p>
      <w:pPr>
        <w:numPr>
          <w:ilvl w:val="0"/>
          <w:numId w:val="6"/>
        </w:numPr>
        <w:ind w:left="360" w:hanging="315" w:hangingChars="150"/>
        <w:rPr>
          <w:rFonts w:ascii="华文细黑" w:hAnsi="华文细黑"/>
        </w:rPr>
      </w:pPr>
      <w:r>
        <w:rPr>
          <w:rFonts w:ascii="华文细黑" w:hAnsi="华文细黑"/>
        </w:rPr>
        <w:t>RSU</w:t>
      </w:r>
      <w:r>
        <w:rPr>
          <w:rFonts w:hint="eastAsia" w:ascii="华文细黑" w:hAnsi="华文细黑"/>
        </w:rPr>
        <w:t>设备稳定通信区域长度可在1</w:t>
      </w:r>
      <w:r>
        <w:rPr>
          <w:rFonts w:ascii="华文细黑" w:hAnsi="华文细黑"/>
        </w:rPr>
        <w:t>m～1</w:t>
      </w:r>
      <w:r>
        <w:rPr>
          <w:rFonts w:hint="eastAsia" w:ascii="华文细黑" w:hAnsi="华文细黑"/>
        </w:rPr>
        <w:t>5</w:t>
      </w:r>
      <w:r>
        <w:rPr>
          <w:rFonts w:ascii="华文细黑" w:hAnsi="华文细黑"/>
        </w:rPr>
        <w:t xml:space="preserve"> m</w:t>
      </w:r>
      <w:r>
        <w:rPr>
          <w:rFonts w:hint="eastAsia" w:ascii="华文细黑" w:hAnsi="华文细黑"/>
        </w:rPr>
        <w:t>范围内，宽度可在</w:t>
      </w:r>
      <w:r>
        <w:rPr>
          <w:rFonts w:ascii="华文细黑" w:hAnsi="华文细黑"/>
        </w:rPr>
        <w:t>2.5m～4 m</w:t>
      </w:r>
      <w:r>
        <w:rPr>
          <w:rFonts w:hint="eastAsia" w:ascii="华文细黑" w:hAnsi="华文细黑"/>
        </w:rPr>
        <w:t>范围内通过软件调节，保证较快车辆通行速度的同时，适应单车道到多车道安装要求；</w:t>
      </w:r>
    </w:p>
    <w:p>
      <w:pPr>
        <w:numPr>
          <w:ilvl w:val="0"/>
          <w:numId w:val="6"/>
        </w:numPr>
        <w:ind w:left="360" w:hanging="315" w:hangingChars="150"/>
        <w:rPr>
          <w:rFonts w:hint="eastAsia" w:ascii="华文细黑" w:hAnsi="华文细黑"/>
        </w:rPr>
      </w:pPr>
      <w:r>
        <w:rPr>
          <w:rFonts w:hint="eastAsia" w:ascii="华文细黑" w:hAnsi="华文细黑"/>
        </w:rPr>
        <w:t>可有效解决跟车干扰和领道干扰等的问题，其中二车最近距离在0.5米至1米距离上不会产生跟车干扰，邻道干扰严格控制在3~3.3米范围内；</w:t>
      </w:r>
    </w:p>
    <w:p>
      <w:pPr>
        <w:numPr>
          <w:ilvl w:val="0"/>
          <w:numId w:val="6"/>
        </w:numPr>
        <w:ind w:left="360" w:hanging="315" w:hangingChars="150"/>
        <w:rPr>
          <w:rFonts w:hint="eastAsia" w:ascii="华文细黑" w:hAnsi="华文细黑"/>
        </w:rPr>
      </w:pPr>
      <w:r>
        <w:rPr>
          <w:rFonts w:hint="eastAsia" w:ascii="华文细黑" w:hAnsi="华文细黑"/>
        </w:rPr>
        <w:t>RSU可对OBU纵、横两个坐标维度进行定位，中心区域定位精度≤0.1m，防止跟车干扰和旁道干扰；</w:t>
      </w:r>
    </w:p>
    <w:p>
      <w:pPr>
        <w:numPr>
          <w:ilvl w:val="0"/>
          <w:numId w:val="6"/>
        </w:numPr>
        <w:ind w:left="360" w:hanging="315" w:hangingChars="150"/>
        <w:rPr>
          <w:rFonts w:ascii="华文细黑" w:hAnsi="华文细黑"/>
        </w:rPr>
      </w:pPr>
      <w:r>
        <w:rPr>
          <w:rFonts w:hint="eastAsia" w:ascii="华文细黑" w:hAnsi="华文细黑"/>
        </w:rPr>
        <w:t>定位方案采用易于部署的单天线方式实现；</w:t>
      </w:r>
    </w:p>
    <w:p>
      <w:pPr>
        <w:numPr>
          <w:ilvl w:val="0"/>
          <w:numId w:val="6"/>
        </w:numPr>
        <w:ind w:left="360" w:hanging="315" w:hangingChars="150"/>
        <w:rPr>
          <w:rFonts w:ascii="华文细黑" w:hAnsi="华文细黑"/>
        </w:rPr>
      </w:pPr>
      <w:r>
        <w:rPr>
          <w:rFonts w:ascii="华文细黑" w:hAnsi="华文细黑"/>
        </w:rPr>
        <w:t>RSU</w:t>
      </w:r>
      <w:r>
        <w:rPr>
          <w:rFonts w:hint="eastAsia" w:ascii="华文细黑" w:hAnsi="华文细黑"/>
        </w:rPr>
        <w:t>具备发射功率闭环控制功能，保障各类气候条件下交易区域稳定一致。</w:t>
      </w:r>
    </w:p>
    <w:p>
      <w:pPr>
        <w:pStyle w:val="4"/>
        <w:numPr>
          <w:ilvl w:val="0"/>
          <w:numId w:val="5"/>
        </w:numPr>
        <w:ind w:left="0" w:firstLine="0"/>
        <w:rPr>
          <w:rFonts w:ascii="黑体" w:hAnsi="黑体"/>
          <w:sz w:val="24"/>
          <w:szCs w:val="24"/>
        </w:rPr>
      </w:pPr>
      <w:bookmarkStart w:id="8" w:name="_Toc467589883"/>
      <w:bookmarkStart w:id="9" w:name="_Toc519076075"/>
      <w:r>
        <w:rPr>
          <w:rFonts w:hint="eastAsia" w:ascii="黑体" w:hAnsi="黑体"/>
          <w:sz w:val="24"/>
          <w:szCs w:val="24"/>
        </w:rPr>
        <w:t>接口要求</w:t>
      </w:r>
      <w:bookmarkEnd w:id="8"/>
      <w:bookmarkEnd w:id="9"/>
    </w:p>
    <w:p>
      <w:pPr>
        <w:numPr>
          <w:ilvl w:val="0"/>
          <w:numId w:val="6"/>
        </w:numPr>
        <w:ind w:left="360" w:hanging="315" w:hangingChars="150"/>
        <w:rPr>
          <w:rFonts w:ascii="华文细黑" w:hAnsi="华文细黑"/>
        </w:rPr>
      </w:pPr>
      <w:r>
        <w:rPr>
          <w:rFonts w:ascii="华文细黑" w:hAnsi="华文细黑"/>
        </w:rPr>
        <w:t>RSU</w:t>
      </w:r>
      <w:r>
        <w:rPr>
          <w:rFonts w:hint="eastAsia" w:ascii="华文细黑" w:hAnsi="华文细黑"/>
        </w:rPr>
        <w:t>具有</w:t>
      </w:r>
      <w:r>
        <w:rPr>
          <w:rFonts w:ascii="华文细黑" w:hAnsi="华文细黑"/>
        </w:rPr>
        <w:t>RS-232</w:t>
      </w:r>
      <w:r>
        <w:rPr>
          <w:rFonts w:hint="eastAsia" w:ascii="华文细黑" w:hAnsi="华文细黑"/>
        </w:rPr>
        <w:t>、</w:t>
      </w:r>
      <w:r>
        <w:rPr>
          <w:rFonts w:ascii="华文细黑" w:hAnsi="华文细黑"/>
        </w:rPr>
        <w:t>USB（B-4Pin</w:t>
      </w:r>
      <w:r>
        <w:rPr>
          <w:rFonts w:hint="eastAsia" w:ascii="华文细黑" w:hAnsi="华文细黑"/>
        </w:rPr>
        <w:t>型）及以太网方式的上位机通信接口；</w:t>
      </w:r>
    </w:p>
    <w:p>
      <w:pPr>
        <w:numPr>
          <w:ilvl w:val="0"/>
          <w:numId w:val="6"/>
        </w:numPr>
        <w:ind w:left="360" w:hanging="315" w:hangingChars="150"/>
        <w:rPr>
          <w:rFonts w:ascii="华文细黑" w:hAnsi="华文细黑"/>
        </w:rPr>
      </w:pPr>
      <w:r>
        <w:rPr>
          <w:rFonts w:ascii="华文细黑" w:hAnsi="华文细黑"/>
        </w:rPr>
        <w:t>RSU</w:t>
      </w:r>
      <w:r>
        <w:rPr>
          <w:rFonts w:hint="eastAsia" w:ascii="华文细黑" w:hAnsi="华文细黑"/>
        </w:rPr>
        <w:t>室外单元与控制器通信采用专用线缆传输方式，提升雷击防护等级；</w:t>
      </w:r>
    </w:p>
    <w:p>
      <w:pPr>
        <w:numPr>
          <w:ilvl w:val="0"/>
          <w:numId w:val="6"/>
        </w:numPr>
        <w:ind w:left="360" w:hanging="315" w:hangingChars="150"/>
        <w:rPr>
          <w:rFonts w:ascii="华文细黑" w:hAnsi="华文细黑"/>
        </w:rPr>
      </w:pPr>
      <w:r>
        <w:rPr>
          <w:rFonts w:ascii="华文细黑" w:hAnsi="华文细黑"/>
        </w:rPr>
        <w:t>RSU</w:t>
      </w:r>
      <w:r>
        <w:rPr>
          <w:rFonts w:hint="eastAsia" w:ascii="华文细黑" w:hAnsi="华文细黑"/>
        </w:rPr>
        <w:t>具有符合</w:t>
      </w:r>
      <w:r>
        <w:rPr>
          <w:rFonts w:ascii="华文细黑" w:hAnsi="华文细黑"/>
        </w:rPr>
        <w:t>ISO/IEC 7816</w:t>
      </w:r>
      <w:r>
        <w:rPr>
          <w:rFonts w:hint="eastAsia" w:ascii="华文细黑" w:hAnsi="华文细黑"/>
        </w:rPr>
        <w:t>要求的</w:t>
      </w:r>
      <w:r>
        <w:rPr>
          <w:rFonts w:ascii="华文细黑" w:hAnsi="华文细黑"/>
        </w:rPr>
        <w:t>PSAM</w:t>
      </w:r>
      <w:r>
        <w:rPr>
          <w:rFonts w:hint="eastAsia" w:ascii="华文细黑" w:hAnsi="华文细黑"/>
        </w:rPr>
        <w:t>卡座接口，支持对符合</w:t>
      </w:r>
      <w:r>
        <w:rPr>
          <w:rFonts w:ascii="华文细黑" w:hAnsi="华文细黑"/>
        </w:rPr>
        <w:t>JR/T 0025</w:t>
      </w:r>
      <w:r>
        <w:rPr>
          <w:rFonts w:hint="eastAsia" w:ascii="华文细黑" w:hAnsi="华文细黑"/>
        </w:rPr>
        <w:t>安全交易规范要求的</w:t>
      </w:r>
      <w:r>
        <w:rPr>
          <w:rFonts w:ascii="华文细黑" w:hAnsi="华文细黑"/>
        </w:rPr>
        <w:t>PSAM</w:t>
      </w:r>
      <w:r>
        <w:rPr>
          <w:rFonts w:hint="eastAsia" w:ascii="华文细黑" w:hAnsi="华文细黑"/>
        </w:rPr>
        <w:t>的透传指令操作；</w:t>
      </w:r>
    </w:p>
    <w:p>
      <w:pPr>
        <w:numPr>
          <w:ilvl w:val="0"/>
          <w:numId w:val="6"/>
        </w:numPr>
        <w:ind w:left="360" w:hanging="315" w:hangingChars="150"/>
        <w:rPr>
          <w:rFonts w:ascii="华文细黑" w:hAnsi="华文细黑"/>
        </w:rPr>
      </w:pPr>
      <w:r>
        <w:rPr>
          <w:rFonts w:ascii="华文细黑" w:hAnsi="华文细黑"/>
        </w:rPr>
        <w:t>RSU</w:t>
      </w:r>
      <w:r>
        <w:rPr>
          <w:rFonts w:hint="eastAsia" w:ascii="华文细黑" w:hAnsi="华文细黑"/>
        </w:rPr>
        <w:t>具有调试接口，用于设备安装时的调试；</w:t>
      </w:r>
    </w:p>
    <w:p>
      <w:pPr>
        <w:numPr>
          <w:ilvl w:val="0"/>
          <w:numId w:val="6"/>
        </w:numPr>
        <w:ind w:left="360" w:hanging="315" w:hangingChars="150"/>
        <w:rPr>
          <w:rFonts w:ascii="华文细黑" w:hAnsi="华文细黑"/>
        </w:rPr>
      </w:pPr>
      <w:r>
        <w:rPr>
          <w:rFonts w:hint="eastAsia" w:ascii="华文细黑" w:hAnsi="华文细黑"/>
        </w:rPr>
        <w:t>具有通过上位机接口进行免拆卸在线程序和应用更新的功能；</w:t>
      </w:r>
    </w:p>
    <w:p>
      <w:pPr>
        <w:numPr>
          <w:ilvl w:val="0"/>
          <w:numId w:val="6"/>
        </w:numPr>
        <w:ind w:left="360" w:hanging="315" w:hangingChars="150"/>
        <w:rPr>
          <w:rFonts w:ascii="华文细黑" w:hAnsi="华文细黑"/>
        </w:rPr>
      </w:pPr>
      <w:r>
        <w:rPr>
          <w:rFonts w:hint="eastAsia" w:ascii="华文细黑" w:hAnsi="华文细黑"/>
        </w:rPr>
        <w:t>提供应用层服务原语接口、通信协议和设备调试动态库。</w:t>
      </w:r>
    </w:p>
    <w:bookmarkEnd w:id="2"/>
    <w:p>
      <w:pPr>
        <w:pStyle w:val="4"/>
        <w:numPr>
          <w:ilvl w:val="0"/>
          <w:numId w:val="5"/>
        </w:numPr>
        <w:ind w:left="0" w:firstLine="0"/>
        <w:rPr>
          <w:rFonts w:hint="eastAsia" w:ascii="黑体" w:hAnsi="黑体"/>
          <w:sz w:val="24"/>
          <w:szCs w:val="24"/>
        </w:rPr>
      </w:pPr>
      <w:bookmarkStart w:id="10" w:name="_Toc467589886"/>
      <w:bookmarkStart w:id="11" w:name="_Toc519076078"/>
      <w:r>
        <w:rPr>
          <w:rFonts w:hint="eastAsia" w:ascii="黑体" w:hAnsi="黑体"/>
          <w:sz w:val="24"/>
          <w:szCs w:val="24"/>
        </w:rPr>
        <w:t>技术</w:t>
      </w:r>
      <w:bookmarkEnd w:id="10"/>
      <w:r>
        <w:rPr>
          <w:rFonts w:hint="eastAsia" w:ascii="黑体" w:hAnsi="黑体"/>
          <w:sz w:val="24"/>
          <w:szCs w:val="24"/>
        </w:rPr>
        <w:t>参数</w:t>
      </w:r>
      <w:bookmarkEnd w:id="11"/>
    </w:p>
    <w:p>
      <w:pPr>
        <w:ind w:firstLine="480"/>
        <w:rPr>
          <w:rFonts w:hint="eastAsia" w:ascii="华文细黑" w:hAnsi="华文细黑"/>
        </w:rPr>
      </w:pPr>
      <w:bookmarkStart w:id="12" w:name="_Toc289280088"/>
      <w:bookmarkStart w:id="13" w:name="_Toc295388928"/>
      <w:bookmarkStart w:id="14" w:name="_Toc288937485"/>
      <w:bookmarkStart w:id="15" w:name="_Toc289417428"/>
      <w:r>
        <w:rPr>
          <w:rFonts w:hint="eastAsia" w:ascii="华文细黑" w:hAnsi="华文细黑"/>
        </w:rPr>
        <w:t>RSU符合GB/T20851-2007《电子收费专用短程通信》系列国家标准、交通部《收费公路联网收费技术要求》、《收费公路联网电子不停车收费技术要求》等标准规范。详细描述如下：</w:t>
      </w:r>
    </w:p>
    <w:p>
      <w:pPr>
        <w:pStyle w:val="5"/>
        <w:numPr>
          <w:ilvl w:val="3"/>
          <w:numId w:val="7"/>
        </w:numPr>
        <w:rPr>
          <w:rFonts w:hint="eastAsia" w:ascii="黑体" w:hAnsi="黑体"/>
          <w:sz w:val="24"/>
          <w:szCs w:val="24"/>
        </w:rPr>
      </w:pPr>
      <w:bookmarkStart w:id="16" w:name="_Toc430009201"/>
      <w:bookmarkStart w:id="17" w:name="_Toc467589887"/>
      <w:bookmarkStart w:id="18" w:name="_Toc519076079"/>
      <w:r>
        <w:rPr>
          <w:rFonts w:hint="eastAsia" w:ascii="黑体" w:hAnsi="黑体"/>
          <w:sz w:val="24"/>
          <w:szCs w:val="24"/>
        </w:rPr>
        <w:t>机械特性</w:t>
      </w:r>
      <w:bookmarkEnd w:id="16"/>
      <w:bookmarkEnd w:id="17"/>
      <w:bookmarkEnd w:id="18"/>
    </w:p>
    <w:tbl>
      <w:tblPr>
        <w:tblStyle w:val="14"/>
        <w:tblW w:w="0" w:type="auto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28"/>
        <w:gridCol w:w="3637"/>
      </w:tblGrid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28" w:type="dxa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华文细黑" w:hAnsi="华文细黑"/>
                <w:b/>
                <w:sz w:val="21"/>
                <w:szCs w:val="21"/>
              </w:rPr>
            </w:pPr>
            <w:r>
              <w:rPr>
                <w:rFonts w:hint="eastAsia" w:ascii="华文细黑" w:hAnsi="华文细黑"/>
                <w:b/>
                <w:sz w:val="21"/>
                <w:szCs w:val="21"/>
              </w:rPr>
              <w:t>参数</w:t>
            </w:r>
          </w:p>
        </w:tc>
        <w:tc>
          <w:tcPr>
            <w:tcW w:w="3637" w:type="dxa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华文细黑" w:hAnsi="华文细黑"/>
                <w:b/>
                <w:sz w:val="21"/>
                <w:szCs w:val="21"/>
              </w:rPr>
            </w:pPr>
            <w:r>
              <w:rPr>
                <w:rFonts w:hint="eastAsia" w:ascii="华文细黑" w:hAnsi="华文细黑"/>
                <w:b/>
                <w:sz w:val="21"/>
                <w:szCs w:val="21"/>
              </w:rPr>
              <w:t>规格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28" w:type="dxa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华文细黑" w:hAnsi="华文细黑"/>
                <w:sz w:val="21"/>
                <w:szCs w:val="21"/>
              </w:rPr>
            </w:pPr>
            <w:r>
              <w:rPr>
                <w:rFonts w:hint="eastAsia" w:ascii="华文细黑" w:hAnsi="华文细黑"/>
                <w:sz w:val="21"/>
                <w:szCs w:val="21"/>
              </w:rPr>
              <w:t>外形尺寸</w:t>
            </w:r>
          </w:p>
        </w:tc>
        <w:tc>
          <w:tcPr>
            <w:tcW w:w="3637" w:type="dxa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华文细黑" w:hAnsi="华文细黑"/>
                <w:sz w:val="21"/>
                <w:szCs w:val="21"/>
              </w:rPr>
            </w:pPr>
            <w:r>
              <w:rPr>
                <w:rFonts w:hint="eastAsia" w:ascii="华文细黑" w:hAnsi="华文细黑"/>
                <w:sz w:val="21"/>
                <w:szCs w:val="21"/>
              </w:rPr>
              <w:t>459×343×110</w:t>
            </w:r>
            <w:r>
              <w:rPr>
                <w:rFonts w:ascii="华文细黑" w:hAnsi="华文细黑"/>
                <w:sz w:val="21"/>
                <w:szCs w:val="21"/>
              </w:rPr>
              <w:t>mm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28" w:type="dxa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华文细黑" w:hAnsi="华文细黑"/>
                <w:sz w:val="21"/>
                <w:szCs w:val="21"/>
              </w:rPr>
            </w:pPr>
            <w:r>
              <w:rPr>
                <w:rFonts w:hint="eastAsia" w:ascii="华文细黑" w:hAnsi="华文细黑"/>
                <w:sz w:val="21"/>
                <w:szCs w:val="21"/>
              </w:rPr>
              <w:t>外壳材料</w:t>
            </w:r>
          </w:p>
        </w:tc>
        <w:tc>
          <w:tcPr>
            <w:tcW w:w="3637" w:type="dxa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华文细黑" w:hAnsi="华文细黑"/>
                <w:sz w:val="21"/>
                <w:szCs w:val="21"/>
              </w:rPr>
            </w:pPr>
            <w:r>
              <w:rPr>
                <w:rFonts w:ascii="华文细黑" w:hAnsi="华文细黑"/>
                <w:sz w:val="21"/>
                <w:szCs w:val="21"/>
              </w:rPr>
              <w:t>RSU</w:t>
            </w:r>
            <w:r>
              <w:rPr>
                <w:rFonts w:hint="eastAsia" w:ascii="华文细黑" w:hAnsi="华文细黑"/>
                <w:sz w:val="21"/>
                <w:szCs w:val="21"/>
              </w:rPr>
              <w:t>天线底座：不锈钢喷塑</w:t>
            </w:r>
          </w:p>
          <w:p>
            <w:pPr>
              <w:spacing w:line="300" w:lineRule="exact"/>
              <w:ind w:firstLine="0" w:firstLineChars="0"/>
              <w:jc w:val="center"/>
              <w:rPr>
                <w:rFonts w:ascii="华文细黑" w:hAnsi="华文细黑"/>
                <w:sz w:val="21"/>
                <w:szCs w:val="21"/>
              </w:rPr>
            </w:pPr>
            <w:r>
              <w:rPr>
                <w:rFonts w:ascii="华文细黑" w:hAnsi="华文细黑"/>
                <w:sz w:val="21"/>
                <w:szCs w:val="21"/>
              </w:rPr>
              <w:t>RSU</w:t>
            </w:r>
            <w:r>
              <w:rPr>
                <w:rFonts w:hint="eastAsia" w:ascii="华文细黑" w:hAnsi="华文细黑"/>
                <w:sz w:val="21"/>
                <w:szCs w:val="21"/>
              </w:rPr>
              <w:t>天线外罩：</w:t>
            </w:r>
            <w:r>
              <w:rPr>
                <w:rFonts w:ascii="华文细黑" w:hAnsi="华文细黑"/>
                <w:sz w:val="21"/>
                <w:szCs w:val="21"/>
              </w:rPr>
              <w:t>ABS+PC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28" w:type="dxa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华文细黑" w:hAnsi="华文细黑"/>
                <w:sz w:val="21"/>
                <w:szCs w:val="21"/>
              </w:rPr>
            </w:pPr>
            <w:r>
              <w:rPr>
                <w:rFonts w:hint="eastAsia" w:ascii="华文细黑" w:hAnsi="华文细黑"/>
                <w:sz w:val="21"/>
                <w:szCs w:val="21"/>
              </w:rPr>
              <w:t>安装位置</w:t>
            </w:r>
          </w:p>
        </w:tc>
        <w:tc>
          <w:tcPr>
            <w:tcW w:w="3637" w:type="dxa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华文细黑" w:hAnsi="华文细黑"/>
                <w:sz w:val="21"/>
                <w:szCs w:val="21"/>
              </w:rPr>
            </w:pPr>
            <w:r>
              <w:rPr>
                <w:rFonts w:hint="eastAsia" w:ascii="华文细黑" w:hAnsi="华文细黑"/>
                <w:sz w:val="21"/>
                <w:szCs w:val="21"/>
              </w:rPr>
              <w:t>龙门架或路侧杆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28" w:type="dxa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华文细黑" w:hAnsi="华文细黑"/>
                <w:sz w:val="21"/>
                <w:szCs w:val="21"/>
              </w:rPr>
            </w:pPr>
            <w:r>
              <w:rPr>
                <w:rFonts w:hint="eastAsia" w:ascii="华文细黑" w:hAnsi="华文细黑"/>
                <w:sz w:val="21"/>
                <w:szCs w:val="21"/>
              </w:rPr>
              <w:t>安装方式</w:t>
            </w:r>
          </w:p>
        </w:tc>
        <w:tc>
          <w:tcPr>
            <w:tcW w:w="3637" w:type="dxa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华文细黑" w:hAnsi="华文细黑"/>
                <w:sz w:val="21"/>
                <w:szCs w:val="21"/>
              </w:rPr>
            </w:pPr>
            <w:r>
              <w:rPr>
                <w:rFonts w:hint="eastAsia" w:ascii="华文细黑" w:hAnsi="华文细黑"/>
                <w:sz w:val="21"/>
                <w:szCs w:val="21"/>
              </w:rPr>
              <w:t>顶挂或侧挂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28" w:type="dxa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eastAsia" w:ascii="华文细黑" w:hAnsi="华文细黑"/>
                <w:sz w:val="21"/>
                <w:szCs w:val="21"/>
              </w:rPr>
            </w:pPr>
            <w:r>
              <w:rPr>
                <w:rFonts w:hint="eastAsia" w:ascii="华文细黑" w:hAnsi="华文细黑"/>
                <w:sz w:val="21"/>
                <w:szCs w:val="21"/>
              </w:rPr>
              <w:t>天线安装角度</w:t>
            </w:r>
          </w:p>
        </w:tc>
        <w:tc>
          <w:tcPr>
            <w:tcW w:w="3637" w:type="dxa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eastAsia" w:ascii="华文细黑" w:hAnsi="华文细黑"/>
                <w:sz w:val="21"/>
                <w:szCs w:val="21"/>
              </w:rPr>
            </w:pPr>
            <w:r>
              <w:rPr>
                <w:rFonts w:hint="eastAsia" w:ascii="华文细黑" w:hAnsi="华文细黑"/>
                <w:sz w:val="21"/>
                <w:szCs w:val="21"/>
              </w:rPr>
              <w:t>水平±</w:t>
            </w:r>
            <w:r>
              <w:rPr>
                <w:rFonts w:ascii="华文细黑" w:hAnsi="华文细黑"/>
                <w:sz w:val="21"/>
                <w:szCs w:val="21"/>
              </w:rPr>
              <w:t>180</w:t>
            </w:r>
            <w:r>
              <w:rPr>
                <w:rFonts w:hint="eastAsia" w:ascii="华文细黑" w:hAnsi="华文细黑"/>
                <w:sz w:val="21"/>
                <w:szCs w:val="21"/>
              </w:rPr>
              <w:t>°</w:t>
            </w:r>
            <w:r>
              <w:rPr>
                <w:rFonts w:ascii="华文细黑" w:hAnsi="华文细黑"/>
                <w:sz w:val="21"/>
                <w:szCs w:val="21"/>
              </w:rPr>
              <w:t>,</w:t>
            </w:r>
            <w:r>
              <w:rPr>
                <w:rFonts w:hint="eastAsia" w:ascii="华文细黑" w:hAnsi="华文细黑"/>
                <w:sz w:val="21"/>
                <w:szCs w:val="21"/>
              </w:rPr>
              <w:t>垂直</w:t>
            </w:r>
            <w:r>
              <w:rPr>
                <w:rFonts w:ascii="华文细黑" w:hAnsi="华文细黑"/>
                <w:sz w:val="21"/>
                <w:szCs w:val="21"/>
              </w:rPr>
              <w:t>45</w:t>
            </w:r>
            <w:r>
              <w:rPr>
                <w:rFonts w:hint="eastAsia" w:ascii="华文细黑" w:hAnsi="华文细黑"/>
                <w:sz w:val="21"/>
                <w:szCs w:val="21"/>
              </w:rPr>
              <w:t>±</w:t>
            </w:r>
            <w:r>
              <w:rPr>
                <w:rFonts w:ascii="华文细黑" w:hAnsi="华文细黑"/>
                <w:sz w:val="21"/>
                <w:szCs w:val="21"/>
              </w:rPr>
              <w:t>25</w:t>
            </w:r>
            <w:r>
              <w:rPr>
                <w:rFonts w:hint="eastAsia" w:ascii="华文细黑" w:hAnsi="华文细黑"/>
                <w:sz w:val="21"/>
                <w:szCs w:val="21"/>
              </w:rPr>
              <w:t>°</w:t>
            </w:r>
          </w:p>
        </w:tc>
      </w:tr>
    </w:tbl>
    <w:p>
      <w:pPr>
        <w:pStyle w:val="5"/>
        <w:numPr>
          <w:ilvl w:val="3"/>
          <w:numId w:val="7"/>
        </w:numPr>
        <w:rPr>
          <w:rFonts w:hint="eastAsia" w:ascii="黑体" w:hAnsi="黑体"/>
          <w:sz w:val="24"/>
          <w:szCs w:val="24"/>
        </w:rPr>
      </w:pPr>
      <w:bookmarkStart w:id="19" w:name="_Toc288937486"/>
      <w:bookmarkStart w:id="20" w:name="_Toc519076080"/>
      <w:bookmarkStart w:id="21" w:name="_Toc430009202"/>
      <w:bookmarkStart w:id="22" w:name="_Toc467589888"/>
      <w:bookmarkStart w:id="23" w:name="_Toc295388929"/>
      <w:bookmarkStart w:id="24" w:name="_Toc289417429"/>
      <w:bookmarkStart w:id="25" w:name="_Toc289280089"/>
      <w:r>
        <w:rPr>
          <w:rFonts w:hint="eastAsia" w:ascii="黑体" w:hAnsi="黑体"/>
          <w:sz w:val="24"/>
          <w:szCs w:val="24"/>
        </w:rPr>
        <w:t>微波链路特性</w:t>
      </w:r>
      <w:bookmarkEnd w:id="19"/>
      <w:bookmarkEnd w:id="20"/>
      <w:bookmarkEnd w:id="21"/>
      <w:bookmarkEnd w:id="22"/>
      <w:bookmarkEnd w:id="23"/>
      <w:bookmarkEnd w:id="24"/>
      <w:bookmarkEnd w:id="25"/>
    </w:p>
    <w:tbl>
      <w:tblPr>
        <w:tblStyle w:val="14"/>
        <w:tblW w:w="8826" w:type="dxa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8"/>
        <w:gridCol w:w="2690"/>
        <w:gridCol w:w="3618"/>
      </w:tblGrid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" w:hRule="atLeast"/>
          <w:jc w:val="center"/>
        </w:trPr>
        <w:tc>
          <w:tcPr>
            <w:tcW w:w="5208" w:type="dxa"/>
            <w:gridSpan w:val="2"/>
            <w:noWrap w:val="0"/>
            <w:vAlign w:val="center"/>
          </w:tcPr>
          <w:p>
            <w:pPr>
              <w:widowControl/>
              <w:spacing w:line="300" w:lineRule="exact"/>
              <w:ind w:firstLine="0" w:firstLineChars="0"/>
              <w:jc w:val="center"/>
              <w:rPr>
                <w:rFonts w:ascii="华文细黑" w:hAnsi="华文细黑" w:cs="宋体"/>
                <w:b/>
                <w:kern w:val="0"/>
                <w:sz w:val="21"/>
                <w:szCs w:val="21"/>
              </w:rPr>
            </w:pPr>
            <w:bookmarkStart w:id="26" w:name="OLE_LINK3"/>
            <w:bookmarkStart w:id="27" w:name="_Toc289280090"/>
            <w:bookmarkStart w:id="28" w:name="_Toc288937487"/>
            <w:bookmarkStart w:id="29" w:name="_Toc289417430"/>
            <w:r>
              <w:rPr>
                <w:rFonts w:hint="eastAsia" w:ascii="华文细黑" w:hAnsi="华文细黑" w:cs="宋体"/>
                <w:b/>
                <w:kern w:val="0"/>
                <w:sz w:val="21"/>
                <w:szCs w:val="21"/>
              </w:rPr>
              <w:t>参</w:t>
            </w:r>
            <w:r>
              <w:rPr>
                <w:rFonts w:ascii="华文细黑" w:hAnsi="华文细黑" w:cs="宋体"/>
                <w:b/>
                <w:kern w:val="0"/>
                <w:sz w:val="21"/>
                <w:szCs w:val="21"/>
              </w:rPr>
              <w:t xml:space="preserve"> </w:t>
            </w:r>
            <w:r>
              <w:rPr>
                <w:rFonts w:hint="eastAsia" w:ascii="华文细黑" w:hAnsi="华文细黑" w:cs="宋体"/>
                <w:b/>
                <w:kern w:val="0"/>
                <w:sz w:val="21"/>
                <w:szCs w:val="21"/>
              </w:rPr>
              <w:t>数</w:t>
            </w:r>
          </w:p>
        </w:tc>
        <w:tc>
          <w:tcPr>
            <w:tcW w:w="3618" w:type="dxa"/>
            <w:noWrap w:val="0"/>
            <w:vAlign w:val="center"/>
          </w:tcPr>
          <w:p>
            <w:pPr>
              <w:widowControl/>
              <w:spacing w:line="300" w:lineRule="exact"/>
              <w:ind w:firstLine="0" w:firstLineChars="0"/>
              <w:jc w:val="center"/>
              <w:rPr>
                <w:rFonts w:ascii="华文细黑" w:hAnsi="华文细黑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华文细黑" w:hAnsi="华文细黑" w:cs="宋体"/>
                <w:b/>
                <w:kern w:val="0"/>
                <w:sz w:val="21"/>
                <w:szCs w:val="21"/>
              </w:rPr>
              <w:t>规格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518" w:type="dxa"/>
            <w:vMerge w:val="restart"/>
            <w:noWrap w:val="0"/>
            <w:vAlign w:val="center"/>
          </w:tcPr>
          <w:p>
            <w:pPr>
              <w:widowControl/>
              <w:spacing w:line="300" w:lineRule="exact"/>
              <w:ind w:firstLine="0" w:firstLineChars="0"/>
              <w:jc w:val="center"/>
              <w:rPr>
                <w:rFonts w:ascii="华文细黑" w:hAnsi="华文细黑" w:cs="宋体"/>
                <w:kern w:val="0"/>
                <w:sz w:val="21"/>
                <w:szCs w:val="21"/>
              </w:rPr>
            </w:pPr>
            <w:r>
              <w:rPr>
                <w:rFonts w:hint="eastAsia" w:ascii="华文细黑" w:hAnsi="华文细黑" w:cs="宋体"/>
                <w:kern w:val="0"/>
                <w:sz w:val="21"/>
                <w:szCs w:val="21"/>
              </w:rPr>
              <w:t>载波频率</w:t>
            </w:r>
          </w:p>
        </w:tc>
        <w:tc>
          <w:tcPr>
            <w:tcW w:w="2690" w:type="dxa"/>
            <w:noWrap w:val="0"/>
            <w:vAlign w:val="center"/>
          </w:tcPr>
          <w:p>
            <w:pPr>
              <w:widowControl/>
              <w:spacing w:line="300" w:lineRule="exact"/>
              <w:ind w:firstLine="0" w:firstLineChars="0"/>
              <w:jc w:val="center"/>
              <w:rPr>
                <w:rFonts w:ascii="华文细黑" w:hAnsi="华文细黑" w:cs="宋体"/>
                <w:kern w:val="0"/>
                <w:sz w:val="21"/>
                <w:szCs w:val="21"/>
              </w:rPr>
            </w:pPr>
            <w:r>
              <w:rPr>
                <w:rFonts w:hint="eastAsia" w:ascii="华文细黑" w:hAnsi="华文细黑" w:cs="宋体"/>
                <w:kern w:val="0"/>
                <w:sz w:val="21"/>
                <w:szCs w:val="21"/>
              </w:rPr>
              <w:t>信道</w:t>
            </w:r>
            <w:r>
              <w:rPr>
                <w:rFonts w:ascii="华文细黑" w:hAnsi="华文细黑" w:cs="宋体"/>
                <w:kern w:val="0"/>
                <w:sz w:val="21"/>
                <w:szCs w:val="21"/>
              </w:rPr>
              <w:t>1</w:t>
            </w:r>
          </w:p>
        </w:tc>
        <w:tc>
          <w:tcPr>
            <w:tcW w:w="3618" w:type="dxa"/>
            <w:noWrap w:val="0"/>
            <w:vAlign w:val="center"/>
          </w:tcPr>
          <w:p>
            <w:pPr>
              <w:widowControl/>
              <w:spacing w:line="300" w:lineRule="exact"/>
              <w:ind w:firstLine="0" w:firstLineChars="0"/>
              <w:jc w:val="center"/>
              <w:rPr>
                <w:rFonts w:ascii="华文细黑" w:hAnsi="华文细黑" w:cs="宋体"/>
                <w:kern w:val="0"/>
                <w:sz w:val="21"/>
                <w:szCs w:val="21"/>
              </w:rPr>
            </w:pPr>
            <w:r>
              <w:rPr>
                <w:rFonts w:hint="eastAsia" w:ascii="华文细黑" w:hAnsi="华文细黑" w:cs="宋体"/>
                <w:kern w:val="0"/>
                <w:sz w:val="21"/>
                <w:szCs w:val="21"/>
              </w:rPr>
              <w:t>下行：5.830GHz；上行：5.790 GHz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518" w:type="dxa"/>
            <w:vMerge w:val="continue"/>
            <w:noWrap w:val="0"/>
            <w:vAlign w:val="center"/>
          </w:tcPr>
          <w:p>
            <w:pPr>
              <w:widowControl/>
              <w:spacing w:line="300" w:lineRule="exact"/>
              <w:ind w:firstLine="0" w:firstLineChars="0"/>
              <w:jc w:val="center"/>
              <w:rPr>
                <w:rFonts w:ascii="华文细黑" w:hAnsi="华文细黑" w:cs="宋体"/>
                <w:kern w:val="0"/>
                <w:sz w:val="21"/>
                <w:szCs w:val="21"/>
              </w:rPr>
            </w:pPr>
          </w:p>
        </w:tc>
        <w:tc>
          <w:tcPr>
            <w:tcW w:w="2690" w:type="dxa"/>
            <w:noWrap w:val="0"/>
            <w:vAlign w:val="center"/>
          </w:tcPr>
          <w:p>
            <w:pPr>
              <w:widowControl/>
              <w:spacing w:line="300" w:lineRule="exact"/>
              <w:ind w:firstLine="0" w:firstLineChars="0"/>
              <w:jc w:val="center"/>
              <w:rPr>
                <w:rFonts w:ascii="华文细黑" w:hAnsi="华文细黑" w:cs="宋体"/>
                <w:kern w:val="0"/>
                <w:sz w:val="21"/>
                <w:szCs w:val="21"/>
              </w:rPr>
            </w:pPr>
            <w:r>
              <w:rPr>
                <w:rFonts w:hint="eastAsia" w:ascii="华文细黑" w:hAnsi="华文细黑" w:cs="宋体"/>
                <w:kern w:val="0"/>
                <w:sz w:val="21"/>
                <w:szCs w:val="21"/>
              </w:rPr>
              <w:t>信道</w:t>
            </w:r>
            <w:r>
              <w:rPr>
                <w:rFonts w:ascii="华文细黑" w:hAnsi="华文细黑" w:cs="宋体"/>
                <w:kern w:val="0"/>
                <w:sz w:val="21"/>
                <w:szCs w:val="21"/>
              </w:rPr>
              <w:t>2</w:t>
            </w:r>
          </w:p>
        </w:tc>
        <w:tc>
          <w:tcPr>
            <w:tcW w:w="3618" w:type="dxa"/>
            <w:noWrap w:val="0"/>
            <w:vAlign w:val="center"/>
          </w:tcPr>
          <w:p>
            <w:pPr>
              <w:widowControl/>
              <w:spacing w:line="300" w:lineRule="exact"/>
              <w:ind w:firstLine="0" w:firstLineChars="0"/>
              <w:jc w:val="center"/>
              <w:rPr>
                <w:rFonts w:ascii="华文细黑" w:hAnsi="华文细黑" w:cs="宋体"/>
                <w:kern w:val="0"/>
                <w:sz w:val="21"/>
                <w:szCs w:val="21"/>
              </w:rPr>
            </w:pPr>
            <w:r>
              <w:rPr>
                <w:rFonts w:hint="eastAsia" w:ascii="华文细黑" w:hAnsi="华文细黑" w:cs="宋体"/>
                <w:kern w:val="0"/>
                <w:sz w:val="21"/>
                <w:szCs w:val="21"/>
              </w:rPr>
              <w:t>下行：5.840GHz；上行：5.800GHz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208" w:type="dxa"/>
            <w:gridSpan w:val="2"/>
            <w:noWrap w:val="0"/>
            <w:vAlign w:val="center"/>
          </w:tcPr>
          <w:p>
            <w:pPr>
              <w:widowControl/>
              <w:spacing w:line="300" w:lineRule="exact"/>
              <w:ind w:firstLine="0" w:firstLineChars="0"/>
              <w:jc w:val="center"/>
              <w:rPr>
                <w:rFonts w:ascii="华文细黑" w:hAnsi="华文细黑" w:cs="宋体"/>
                <w:kern w:val="0"/>
                <w:sz w:val="21"/>
                <w:szCs w:val="21"/>
              </w:rPr>
            </w:pPr>
            <w:r>
              <w:rPr>
                <w:rFonts w:hint="eastAsia" w:ascii="华文细黑" w:hAnsi="华文细黑" w:cs="宋体"/>
                <w:kern w:val="0"/>
                <w:sz w:val="21"/>
                <w:szCs w:val="21"/>
              </w:rPr>
              <w:t>占用带宽</w:t>
            </w:r>
          </w:p>
        </w:tc>
        <w:tc>
          <w:tcPr>
            <w:tcW w:w="3618" w:type="dxa"/>
            <w:noWrap w:val="0"/>
            <w:vAlign w:val="center"/>
          </w:tcPr>
          <w:p>
            <w:pPr>
              <w:widowControl/>
              <w:spacing w:line="300" w:lineRule="exact"/>
              <w:ind w:firstLine="0" w:firstLineChars="0"/>
              <w:jc w:val="center"/>
              <w:rPr>
                <w:rFonts w:ascii="华文细黑" w:hAnsi="华文细黑" w:cs="宋体"/>
                <w:kern w:val="0"/>
                <w:sz w:val="21"/>
                <w:szCs w:val="21"/>
              </w:rPr>
            </w:pPr>
            <w:r>
              <w:rPr>
                <w:rFonts w:hint="eastAsia" w:ascii="华文细黑" w:hAnsi="华文细黑" w:cs="宋体"/>
                <w:kern w:val="0"/>
                <w:sz w:val="21"/>
                <w:szCs w:val="21"/>
              </w:rPr>
              <w:t>≤</w:t>
            </w:r>
            <w:r>
              <w:rPr>
                <w:rFonts w:ascii="华文细黑" w:hAnsi="华文细黑" w:cs="宋体"/>
                <w:kern w:val="0"/>
                <w:sz w:val="21"/>
                <w:szCs w:val="21"/>
              </w:rPr>
              <w:t>5MHz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208" w:type="dxa"/>
            <w:gridSpan w:val="2"/>
            <w:noWrap w:val="0"/>
            <w:vAlign w:val="center"/>
          </w:tcPr>
          <w:p>
            <w:pPr>
              <w:widowControl/>
              <w:spacing w:line="300" w:lineRule="exact"/>
              <w:ind w:firstLine="0" w:firstLineChars="0"/>
              <w:jc w:val="center"/>
              <w:rPr>
                <w:rFonts w:ascii="华文细黑" w:hAnsi="华文细黑" w:cs="宋体"/>
                <w:kern w:val="0"/>
                <w:sz w:val="21"/>
                <w:szCs w:val="21"/>
              </w:rPr>
            </w:pPr>
            <w:r>
              <w:rPr>
                <w:rFonts w:hint="eastAsia" w:ascii="华文细黑" w:hAnsi="华文细黑" w:cs="宋体"/>
                <w:kern w:val="0"/>
                <w:sz w:val="21"/>
                <w:szCs w:val="21"/>
              </w:rPr>
              <w:t>频率容限</w:t>
            </w:r>
          </w:p>
        </w:tc>
        <w:tc>
          <w:tcPr>
            <w:tcW w:w="3618" w:type="dxa"/>
            <w:noWrap w:val="0"/>
            <w:vAlign w:val="center"/>
          </w:tcPr>
          <w:p>
            <w:pPr>
              <w:widowControl/>
              <w:spacing w:line="300" w:lineRule="exact"/>
              <w:ind w:firstLine="0" w:firstLineChars="0"/>
              <w:jc w:val="center"/>
              <w:rPr>
                <w:rFonts w:ascii="华文细黑" w:hAnsi="华文细黑" w:cs="宋体"/>
                <w:kern w:val="0"/>
                <w:sz w:val="21"/>
                <w:szCs w:val="21"/>
              </w:rPr>
            </w:pPr>
            <w:r>
              <w:rPr>
                <w:rFonts w:hint="eastAsia" w:ascii="华文细黑" w:hAnsi="华文细黑"/>
                <w:sz w:val="21"/>
                <w:szCs w:val="21"/>
              </w:rPr>
              <w:t>±</w:t>
            </w:r>
            <w:r>
              <w:rPr>
                <w:rFonts w:ascii="华文细黑" w:hAnsi="华文细黑"/>
                <w:sz w:val="21"/>
                <w:szCs w:val="21"/>
              </w:rPr>
              <w:t>10</w:t>
            </w:r>
            <w:r>
              <w:rPr>
                <w:rFonts w:hint="eastAsia" w:ascii="华文细黑" w:hAnsi="华文细黑"/>
                <w:sz w:val="21"/>
                <w:szCs w:val="21"/>
              </w:rPr>
              <w:t>×</w:t>
            </w:r>
            <w:r>
              <w:rPr>
                <w:rFonts w:ascii="华文细黑" w:hAnsi="华文细黑"/>
                <w:sz w:val="21"/>
                <w:szCs w:val="21"/>
              </w:rPr>
              <w:t>10</w:t>
            </w:r>
            <w:r>
              <w:rPr>
                <w:rFonts w:ascii="华文细黑" w:hAnsi="华文细黑"/>
                <w:sz w:val="21"/>
                <w:szCs w:val="21"/>
                <w:vertAlign w:val="superscript"/>
              </w:rPr>
              <w:t>-6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208" w:type="dxa"/>
            <w:gridSpan w:val="2"/>
            <w:noWrap w:val="0"/>
            <w:vAlign w:val="center"/>
          </w:tcPr>
          <w:p>
            <w:pPr>
              <w:widowControl/>
              <w:spacing w:line="300" w:lineRule="exact"/>
              <w:ind w:firstLine="0" w:firstLineChars="0"/>
              <w:jc w:val="center"/>
              <w:rPr>
                <w:rFonts w:ascii="华文细黑" w:hAnsi="华文细黑" w:cs="宋体"/>
                <w:kern w:val="0"/>
                <w:sz w:val="21"/>
                <w:szCs w:val="21"/>
              </w:rPr>
            </w:pPr>
            <w:r>
              <w:rPr>
                <w:rFonts w:hint="eastAsia" w:ascii="华文细黑" w:hAnsi="华文细黑" w:cs="宋体"/>
                <w:kern w:val="0"/>
                <w:sz w:val="21"/>
                <w:szCs w:val="21"/>
              </w:rPr>
              <w:t>等效全向辐射功率</w:t>
            </w:r>
          </w:p>
        </w:tc>
        <w:tc>
          <w:tcPr>
            <w:tcW w:w="3618" w:type="dxa"/>
            <w:noWrap w:val="0"/>
            <w:vAlign w:val="center"/>
          </w:tcPr>
          <w:p>
            <w:pPr>
              <w:widowControl/>
              <w:spacing w:line="300" w:lineRule="exact"/>
              <w:ind w:firstLine="0" w:firstLineChars="0"/>
              <w:jc w:val="center"/>
              <w:rPr>
                <w:rFonts w:ascii="华文细黑" w:hAnsi="华文细黑" w:cs="宋体"/>
                <w:kern w:val="0"/>
                <w:sz w:val="21"/>
                <w:szCs w:val="21"/>
              </w:rPr>
            </w:pPr>
            <w:r>
              <w:rPr>
                <w:rFonts w:hint="eastAsia" w:ascii="华文细黑" w:hAnsi="华文细黑" w:cs="宋体"/>
                <w:kern w:val="0"/>
                <w:sz w:val="21"/>
                <w:szCs w:val="21"/>
              </w:rPr>
              <w:t>≤</w:t>
            </w:r>
            <w:r>
              <w:rPr>
                <w:rFonts w:ascii="华文细黑" w:hAnsi="华文细黑" w:cs="宋体"/>
                <w:kern w:val="0"/>
                <w:sz w:val="21"/>
                <w:szCs w:val="21"/>
              </w:rPr>
              <w:t>+33dBm</w:t>
            </w:r>
            <w:r>
              <w:rPr>
                <w:rFonts w:hint="eastAsia" w:ascii="华文细黑" w:hAnsi="华文细黑" w:cs="宋体"/>
                <w:kern w:val="0"/>
                <w:sz w:val="21"/>
                <w:szCs w:val="21"/>
              </w:rPr>
              <w:t>，软件可调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208" w:type="dxa"/>
            <w:gridSpan w:val="2"/>
            <w:noWrap w:val="0"/>
            <w:vAlign w:val="center"/>
          </w:tcPr>
          <w:p>
            <w:pPr>
              <w:widowControl/>
              <w:spacing w:line="300" w:lineRule="exact"/>
              <w:ind w:firstLine="0" w:firstLineChars="0"/>
              <w:jc w:val="center"/>
              <w:rPr>
                <w:rFonts w:hint="eastAsia" w:ascii="华文细黑" w:hAnsi="华文细黑" w:cs="宋体"/>
                <w:kern w:val="0"/>
                <w:sz w:val="21"/>
                <w:szCs w:val="21"/>
              </w:rPr>
            </w:pPr>
            <w:r>
              <w:rPr>
                <w:rFonts w:hint="eastAsia" w:ascii="华文细黑" w:hAnsi="华文细黑" w:cs="宋体"/>
                <w:kern w:val="0"/>
                <w:sz w:val="21"/>
                <w:szCs w:val="21"/>
              </w:rPr>
              <w:t>发射功率稳定性</w:t>
            </w:r>
          </w:p>
        </w:tc>
        <w:tc>
          <w:tcPr>
            <w:tcW w:w="3618" w:type="dxa"/>
            <w:noWrap w:val="0"/>
            <w:vAlign w:val="center"/>
          </w:tcPr>
          <w:p>
            <w:pPr>
              <w:widowControl/>
              <w:spacing w:line="300" w:lineRule="exact"/>
              <w:ind w:firstLine="0" w:firstLineChars="0"/>
              <w:jc w:val="center"/>
              <w:rPr>
                <w:rFonts w:hint="eastAsia" w:ascii="华文细黑" w:hAnsi="华文细黑" w:cs="宋体"/>
                <w:kern w:val="0"/>
                <w:sz w:val="21"/>
                <w:szCs w:val="21"/>
              </w:rPr>
            </w:pPr>
            <w:r>
              <w:rPr>
                <w:rFonts w:hint="eastAsia" w:ascii="华文细黑" w:hAnsi="华文细黑" w:cs="宋体"/>
                <w:kern w:val="0"/>
                <w:sz w:val="21"/>
                <w:szCs w:val="21"/>
              </w:rPr>
              <w:t>全温度范围内优于±1.5dB；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518" w:type="dxa"/>
            <w:vMerge w:val="restart"/>
            <w:noWrap w:val="0"/>
            <w:vAlign w:val="center"/>
          </w:tcPr>
          <w:p>
            <w:pPr>
              <w:widowControl/>
              <w:spacing w:line="300" w:lineRule="exact"/>
              <w:ind w:firstLine="0" w:firstLineChars="0"/>
              <w:jc w:val="center"/>
              <w:rPr>
                <w:rFonts w:ascii="华文细黑" w:hAnsi="华文细黑" w:cs="宋体"/>
                <w:kern w:val="0"/>
                <w:sz w:val="21"/>
                <w:szCs w:val="21"/>
              </w:rPr>
            </w:pPr>
            <w:r>
              <w:rPr>
                <w:rFonts w:hint="eastAsia" w:ascii="华文细黑" w:hAnsi="华文细黑" w:cs="宋体"/>
                <w:kern w:val="0"/>
                <w:sz w:val="21"/>
                <w:szCs w:val="21"/>
              </w:rPr>
              <w:t>杂散发射</w:t>
            </w:r>
          </w:p>
        </w:tc>
        <w:tc>
          <w:tcPr>
            <w:tcW w:w="2690" w:type="dxa"/>
            <w:noWrap w:val="0"/>
            <w:vAlign w:val="center"/>
          </w:tcPr>
          <w:p>
            <w:pPr>
              <w:widowControl/>
              <w:spacing w:line="300" w:lineRule="exact"/>
              <w:ind w:firstLine="0" w:firstLineChars="0"/>
              <w:jc w:val="center"/>
              <w:rPr>
                <w:rFonts w:ascii="华文细黑" w:hAnsi="华文细黑" w:cs="宋体"/>
                <w:kern w:val="0"/>
                <w:sz w:val="21"/>
                <w:szCs w:val="21"/>
              </w:rPr>
            </w:pPr>
            <w:r>
              <w:rPr>
                <w:rFonts w:ascii="华文细黑" w:hAnsi="华文细黑" w:cs="宋体"/>
                <w:kern w:val="0"/>
                <w:sz w:val="21"/>
                <w:szCs w:val="21"/>
              </w:rPr>
              <w:t>30 MHz~ 1000 MHz</w:t>
            </w:r>
          </w:p>
        </w:tc>
        <w:tc>
          <w:tcPr>
            <w:tcW w:w="3618" w:type="dxa"/>
            <w:noWrap w:val="0"/>
            <w:vAlign w:val="center"/>
          </w:tcPr>
          <w:p>
            <w:pPr>
              <w:widowControl/>
              <w:spacing w:line="300" w:lineRule="exact"/>
              <w:ind w:firstLine="0" w:firstLineChars="0"/>
              <w:jc w:val="center"/>
              <w:rPr>
                <w:rFonts w:ascii="华文细黑" w:hAnsi="华文细黑" w:cs="宋体"/>
                <w:kern w:val="0"/>
                <w:sz w:val="21"/>
                <w:szCs w:val="21"/>
              </w:rPr>
            </w:pPr>
            <w:r>
              <w:rPr>
                <w:rFonts w:hint="eastAsia" w:ascii="华文细黑" w:hAnsi="华文细黑" w:cs="宋体"/>
                <w:kern w:val="0"/>
                <w:sz w:val="21"/>
                <w:szCs w:val="21"/>
              </w:rPr>
              <w:t>≤</w:t>
            </w:r>
            <w:r>
              <w:rPr>
                <w:rFonts w:ascii="华文细黑" w:hAnsi="华文细黑" w:cs="宋体"/>
                <w:kern w:val="0"/>
                <w:sz w:val="21"/>
                <w:szCs w:val="21"/>
              </w:rPr>
              <w:t>-36dBm/100kHz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518" w:type="dxa"/>
            <w:vMerge w:val="continue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华文细黑" w:hAnsi="华文细黑" w:cs="宋体"/>
                <w:kern w:val="0"/>
                <w:sz w:val="21"/>
                <w:szCs w:val="21"/>
              </w:rPr>
            </w:pPr>
          </w:p>
        </w:tc>
        <w:tc>
          <w:tcPr>
            <w:tcW w:w="2690" w:type="dxa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华文细黑" w:hAnsi="华文细黑" w:cs="宋体"/>
                <w:kern w:val="0"/>
                <w:sz w:val="21"/>
                <w:szCs w:val="21"/>
              </w:rPr>
            </w:pPr>
            <w:r>
              <w:rPr>
                <w:rFonts w:ascii="华文细黑" w:hAnsi="华文细黑" w:cs="宋体"/>
                <w:kern w:val="0"/>
                <w:sz w:val="21"/>
                <w:szCs w:val="21"/>
              </w:rPr>
              <w:t>2400 MHz ~ 2483.5 MHz</w:t>
            </w:r>
          </w:p>
        </w:tc>
        <w:tc>
          <w:tcPr>
            <w:tcW w:w="3618" w:type="dxa"/>
            <w:noWrap w:val="0"/>
            <w:vAlign w:val="center"/>
          </w:tcPr>
          <w:p>
            <w:pPr>
              <w:widowControl/>
              <w:spacing w:line="300" w:lineRule="exact"/>
              <w:ind w:firstLine="0" w:firstLineChars="0"/>
              <w:jc w:val="center"/>
              <w:rPr>
                <w:rFonts w:ascii="华文细黑" w:hAnsi="华文细黑" w:cs="宋体"/>
                <w:kern w:val="0"/>
                <w:sz w:val="21"/>
                <w:szCs w:val="21"/>
              </w:rPr>
            </w:pPr>
            <w:r>
              <w:rPr>
                <w:rFonts w:hint="eastAsia" w:ascii="华文细黑" w:hAnsi="华文细黑" w:cs="宋体"/>
                <w:kern w:val="0"/>
                <w:sz w:val="21"/>
                <w:szCs w:val="21"/>
              </w:rPr>
              <w:t>≤</w:t>
            </w:r>
            <w:r>
              <w:rPr>
                <w:rFonts w:ascii="华文细黑" w:hAnsi="华文细黑" w:cs="宋体"/>
                <w:kern w:val="0"/>
                <w:sz w:val="21"/>
                <w:szCs w:val="21"/>
              </w:rPr>
              <w:t>-40dBm/1MHz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518" w:type="dxa"/>
            <w:vMerge w:val="continue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华文细黑" w:hAnsi="华文细黑" w:cs="宋体"/>
                <w:kern w:val="0"/>
                <w:sz w:val="21"/>
                <w:szCs w:val="21"/>
              </w:rPr>
            </w:pPr>
          </w:p>
        </w:tc>
        <w:tc>
          <w:tcPr>
            <w:tcW w:w="2690" w:type="dxa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华文细黑" w:hAnsi="华文细黑" w:cs="宋体"/>
                <w:kern w:val="0"/>
                <w:sz w:val="21"/>
                <w:szCs w:val="21"/>
              </w:rPr>
            </w:pPr>
            <w:r>
              <w:rPr>
                <w:rFonts w:ascii="华文细黑" w:hAnsi="华文细黑" w:cs="宋体"/>
                <w:kern w:val="0"/>
                <w:sz w:val="21"/>
                <w:szCs w:val="21"/>
              </w:rPr>
              <w:t>3400 MHz ~ 3530 MHz</w:t>
            </w:r>
          </w:p>
        </w:tc>
        <w:tc>
          <w:tcPr>
            <w:tcW w:w="3618" w:type="dxa"/>
            <w:noWrap w:val="0"/>
            <w:vAlign w:val="center"/>
          </w:tcPr>
          <w:p>
            <w:pPr>
              <w:widowControl/>
              <w:spacing w:line="300" w:lineRule="exact"/>
              <w:ind w:firstLine="0" w:firstLineChars="0"/>
              <w:jc w:val="center"/>
              <w:rPr>
                <w:rFonts w:ascii="华文细黑" w:hAnsi="华文细黑" w:cs="宋体"/>
                <w:kern w:val="0"/>
                <w:sz w:val="21"/>
                <w:szCs w:val="21"/>
              </w:rPr>
            </w:pPr>
            <w:r>
              <w:rPr>
                <w:rFonts w:hint="eastAsia" w:ascii="华文细黑" w:hAnsi="华文细黑" w:cs="宋体"/>
                <w:kern w:val="0"/>
                <w:sz w:val="21"/>
                <w:szCs w:val="21"/>
              </w:rPr>
              <w:t>≤</w:t>
            </w:r>
            <w:r>
              <w:rPr>
                <w:rFonts w:ascii="华文细黑" w:hAnsi="华文细黑" w:cs="宋体"/>
                <w:kern w:val="0"/>
                <w:sz w:val="21"/>
                <w:szCs w:val="21"/>
              </w:rPr>
              <w:t>-40dBm/1MHz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518" w:type="dxa"/>
            <w:vMerge w:val="continue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华文细黑" w:hAnsi="华文细黑" w:cs="宋体"/>
                <w:kern w:val="0"/>
                <w:sz w:val="21"/>
                <w:szCs w:val="21"/>
              </w:rPr>
            </w:pPr>
          </w:p>
        </w:tc>
        <w:tc>
          <w:tcPr>
            <w:tcW w:w="2690" w:type="dxa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华文细黑" w:hAnsi="华文细黑" w:cs="宋体"/>
                <w:kern w:val="0"/>
                <w:sz w:val="21"/>
                <w:szCs w:val="21"/>
              </w:rPr>
            </w:pPr>
            <w:r>
              <w:rPr>
                <w:rFonts w:ascii="华文细黑" w:hAnsi="华文细黑" w:cs="宋体"/>
                <w:kern w:val="0"/>
                <w:sz w:val="21"/>
                <w:szCs w:val="21"/>
              </w:rPr>
              <w:t>5725 MHz ~ 5850 MHz</w:t>
            </w:r>
          </w:p>
        </w:tc>
        <w:tc>
          <w:tcPr>
            <w:tcW w:w="3618" w:type="dxa"/>
            <w:noWrap w:val="0"/>
            <w:vAlign w:val="center"/>
          </w:tcPr>
          <w:p>
            <w:pPr>
              <w:widowControl/>
              <w:spacing w:line="300" w:lineRule="exact"/>
              <w:ind w:firstLine="0" w:firstLineChars="0"/>
              <w:jc w:val="center"/>
              <w:rPr>
                <w:rFonts w:ascii="华文细黑" w:hAnsi="华文细黑" w:cs="宋体"/>
                <w:kern w:val="0"/>
                <w:sz w:val="21"/>
                <w:szCs w:val="21"/>
              </w:rPr>
            </w:pPr>
            <w:r>
              <w:rPr>
                <w:rFonts w:hint="eastAsia" w:ascii="华文细黑" w:hAnsi="华文细黑" w:cs="宋体"/>
                <w:kern w:val="0"/>
                <w:sz w:val="21"/>
                <w:szCs w:val="21"/>
              </w:rPr>
              <w:t>≤</w:t>
            </w:r>
            <w:r>
              <w:rPr>
                <w:rFonts w:ascii="华文细黑" w:hAnsi="华文细黑" w:cs="宋体"/>
                <w:kern w:val="0"/>
                <w:sz w:val="21"/>
                <w:szCs w:val="21"/>
              </w:rPr>
              <w:t>-33dBm/100kHz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518" w:type="dxa"/>
            <w:vMerge w:val="continue"/>
            <w:noWrap w:val="0"/>
            <w:vAlign w:val="center"/>
          </w:tcPr>
          <w:p>
            <w:pPr>
              <w:widowControl/>
              <w:spacing w:line="300" w:lineRule="exact"/>
              <w:ind w:firstLine="0" w:firstLineChars="0"/>
              <w:jc w:val="center"/>
              <w:rPr>
                <w:rFonts w:ascii="华文细黑" w:hAnsi="华文细黑" w:cs="宋体"/>
                <w:kern w:val="0"/>
                <w:sz w:val="21"/>
                <w:szCs w:val="21"/>
              </w:rPr>
            </w:pPr>
          </w:p>
        </w:tc>
        <w:tc>
          <w:tcPr>
            <w:tcW w:w="2690" w:type="dxa"/>
            <w:noWrap w:val="0"/>
            <w:vAlign w:val="center"/>
          </w:tcPr>
          <w:p>
            <w:pPr>
              <w:widowControl/>
              <w:spacing w:line="300" w:lineRule="exact"/>
              <w:ind w:firstLine="0" w:firstLineChars="0"/>
              <w:jc w:val="center"/>
              <w:rPr>
                <w:rFonts w:ascii="华文细黑" w:hAnsi="华文细黑" w:cs="宋体"/>
                <w:kern w:val="0"/>
                <w:sz w:val="21"/>
                <w:szCs w:val="21"/>
              </w:rPr>
            </w:pPr>
            <w:r>
              <w:rPr>
                <w:rFonts w:hint="eastAsia" w:ascii="华文细黑" w:hAnsi="华文细黑" w:cs="宋体"/>
                <w:kern w:val="0"/>
                <w:sz w:val="21"/>
                <w:szCs w:val="21"/>
              </w:rPr>
              <w:t>其它</w:t>
            </w:r>
            <w:r>
              <w:rPr>
                <w:rFonts w:ascii="华文细黑" w:hAnsi="华文细黑" w:cs="宋体"/>
                <w:kern w:val="0"/>
                <w:sz w:val="21"/>
                <w:szCs w:val="21"/>
              </w:rPr>
              <w:t>1 GHz ~ 20 GHz</w:t>
            </w:r>
          </w:p>
        </w:tc>
        <w:tc>
          <w:tcPr>
            <w:tcW w:w="3618" w:type="dxa"/>
            <w:noWrap w:val="0"/>
            <w:vAlign w:val="center"/>
          </w:tcPr>
          <w:p>
            <w:pPr>
              <w:widowControl/>
              <w:spacing w:line="300" w:lineRule="exact"/>
              <w:ind w:firstLine="0" w:firstLineChars="0"/>
              <w:jc w:val="center"/>
              <w:rPr>
                <w:rFonts w:ascii="华文细黑" w:hAnsi="华文细黑" w:cs="宋体"/>
                <w:kern w:val="0"/>
                <w:sz w:val="21"/>
                <w:szCs w:val="21"/>
              </w:rPr>
            </w:pPr>
            <w:r>
              <w:rPr>
                <w:rFonts w:hint="eastAsia" w:ascii="华文细黑" w:hAnsi="华文细黑" w:cs="宋体"/>
                <w:kern w:val="0"/>
                <w:sz w:val="21"/>
                <w:szCs w:val="21"/>
              </w:rPr>
              <w:t>≤</w:t>
            </w:r>
            <w:r>
              <w:rPr>
                <w:rFonts w:ascii="华文细黑" w:hAnsi="华文细黑" w:cs="宋体"/>
                <w:kern w:val="0"/>
                <w:sz w:val="21"/>
                <w:szCs w:val="21"/>
              </w:rPr>
              <w:t>-30dBm/1MHz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208" w:type="dxa"/>
            <w:gridSpan w:val="2"/>
            <w:noWrap w:val="0"/>
            <w:vAlign w:val="center"/>
          </w:tcPr>
          <w:p>
            <w:pPr>
              <w:widowControl/>
              <w:spacing w:line="300" w:lineRule="exact"/>
              <w:ind w:firstLine="0" w:firstLineChars="0"/>
              <w:jc w:val="center"/>
              <w:rPr>
                <w:rFonts w:hint="eastAsia" w:ascii="华文细黑" w:hAnsi="华文细黑" w:cs="宋体"/>
                <w:kern w:val="0"/>
                <w:sz w:val="21"/>
                <w:szCs w:val="21"/>
              </w:rPr>
            </w:pPr>
            <w:r>
              <w:rPr>
                <w:rFonts w:hint="eastAsia" w:ascii="华文细黑" w:hAnsi="华文细黑" w:cs="宋体"/>
                <w:kern w:val="0"/>
                <w:sz w:val="21"/>
                <w:szCs w:val="21"/>
              </w:rPr>
              <w:t>邻道泄漏功率比</w:t>
            </w:r>
          </w:p>
        </w:tc>
        <w:tc>
          <w:tcPr>
            <w:tcW w:w="3618" w:type="dxa"/>
            <w:noWrap w:val="0"/>
            <w:vAlign w:val="center"/>
          </w:tcPr>
          <w:p>
            <w:pPr>
              <w:widowControl/>
              <w:spacing w:line="300" w:lineRule="exact"/>
              <w:ind w:firstLine="0" w:firstLineChars="0"/>
              <w:jc w:val="center"/>
              <w:rPr>
                <w:rFonts w:hint="eastAsia" w:ascii="华文细黑" w:hAnsi="华文细黑" w:cs="宋体"/>
                <w:kern w:val="0"/>
                <w:sz w:val="21"/>
                <w:szCs w:val="21"/>
              </w:rPr>
            </w:pPr>
            <w:r>
              <w:rPr>
                <w:rFonts w:hint="eastAsia" w:ascii="华文细黑" w:hAnsi="华文细黑" w:cs="宋体"/>
                <w:kern w:val="0"/>
                <w:sz w:val="21"/>
                <w:szCs w:val="21"/>
              </w:rPr>
              <w:t>3</w:t>
            </w:r>
            <w:r>
              <w:rPr>
                <w:rFonts w:ascii="华文细黑" w:hAnsi="华文细黑" w:cs="宋体"/>
                <w:kern w:val="0"/>
                <w:sz w:val="21"/>
                <w:szCs w:val="21"/>
              </w:rPr>
              <w:t>0</w:t>
            </w:r>
            <w:r>
              <w:rPr>
                <w:rFonts w:hint="eastAsia" w:ascii="华文细黑" w:hAnsi="华文细黑" w:cs="宋体"/>
                <w:kern w:val="0"/>
                <w:sz w:val="21"/>
                <w:szCs w:val="21"/>
              </w:rPr>
              <w:t>dB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208" w:type="dxa"/>
            <w:gridSpan w:val="2"/>
            <w:noWrap w:val="0"/>
            <w:vAlign w:val="center"/>
          </w:tcPr>
          <w:p>
            <w:pPr>
              <w:widowControl/>
              <w:spacing w:line="300" w:lineRule="exact"/>
              <w:ind w:firstLine="0" w:firstLineChars="0"/>
              <w:jc w:val="center"/>
              <w:rPr>
                <w:rFonts w:hint="eastAsia" w:ascii="华文细黑" w:hAnsi="华文细黑" w:cs="宋体"/>
                <w:kern w:val="0"/>
                <w:sz w:val="21"/>
                <w:szCs w:val="21"/>
              </w:rPr>
            </w:pPr>
            <w:r>
              <w:rPr>
                <w:rFonts w:hint="eastAsia" w:ascii="华文细黑" w:hAnsi="华文细黑" w:cs="宋体"/>
                <w:kern w:val="0"/>
                <w:sz w:val="21"/>
                <w:szCs w:val="21"/>
              </w:rPr>
              <w:t>天线半功率角</w:t>
            </w:r>
          </w:p>
        </w:tc>
        <w:tc>
          <w:tcPr>
            <w:tcW w:w="3618" w:type="dxa"/>
            <w:noWrap w:val="0"/>
            <w:vAlign w:val="center"/>
          </w:tcPr>
          <w:p>
            <w:pPr>
              <w:widowControl/>
              <w:spacing w:line="300" w:lineRule="exact"/>
              <w:ind w:firstLine="0" w:firstLineChars="0"/>
              <w:jc w:val="center"/>
              <w:rPr>
                <w:rFonts w:hint="eastAsia" w:ascii="华文细黑" w:hAnsi="华文细黑" w:cs="宋体"/>
                <w:kern w:val="0"/>
                <w:sz w:val="21"/>
                <w:szCs w:val="21"/>
              </w:rPr>
            </w:pPr>
            <w:r>
              <w:rPr>
                <w:rFonts w:hint="eastAsia" w:ascii="华文细黑" w:hAnsi="华文细黑" w:cs="宋体"/>
                <w:kern w:val="0"/>
                <w:sz w:val="21"/>
                <w:szCs w:val="21"/>
              </w:rPr>
              <w:t>水平面半功率波辦宽度小于3</w:t>
            </w:r>
            <w:r>
              <w:rPr>
                <w:rFonts w:ascii="华文细黑" w:hAnsi="华文细黑" w:cs="宋体"/>
                <w:kern w:val="0"/>
                <w:sz w:val="21"/>
                <w:szCs w:val="21"/>
              </w:rPr>
              <w:t>8</w:t>
            </w:r>
            <w:r>
              <w:rPr>
                <w:rFonts w:hint="eastAsia" w:ascii="华文细黑" w:hAnsi="华文细黑" w:cs="宋体"/>
                <w:kern w:val="0"/>
                <w:sz w:val="21"/>
                <w:szCs w:val="21"/>
              </w:rPr>
              <w:t>°；垂直面半功率波辦宽度小于</w:t>
            </w:r>
            <w:r>
              <w:rPr>
                <w:rFonts w:ascii="华文细黑" w:hAnsi="华文细黑" w:cs="宋体"/>
                <w:kern w:val="0"/>
                <w:sz w:val="21"/>
                <w:szCs w:val="21"/>
              </w:rPr>
              <w:t>45</w:t>
            </w:r>
            <w:r>
              <w:rPr>
                <w:rFonts w:hint="eastAsia" w:ascii="华文细黑" w:hAnsi="华文细黑" w:cs="宋体"/>
                <w:kern w:val="0"/>
                <w:sz w:val="21"/>
                <w:szCs w:val="21"/>
              </w:rPr>
              <w:t>°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208" w:type="dxa"/>
            <w:gridSpan w:val="2"/>
            <w:noWrap w:val="0"/>
            <w:vAlign w:val="center"/>
          </w:tcPr>
          <w:p>
            <w:pPr>
              <w:widowControl/>
              <w:spacing w:line="300" w:lineRule="exact"/>
              <w:ind w:firstLine="0" w:firstLineChars="0"/>
              <w:jc w:val="center"/>
              <w:rPr>
                <w:rFonts w:ascii="华文细黑" w:hAnsi="华文细黑" w:cs="宋体"/>
                <w:kern w:val="0"/>
                <w:sz w:val="21"/>
                <w:szCs w:val="21"/>
              </w:rPr>
            </w:pPr>
            <w:r>
              <w:rPr>
                <w:rFonts w:hint="eastAsia" w:ascii="华文细黑" w:hAnsi="华文细黑" w:cs="宋体"/>
                <w:kern w:val="0"/>
                <w:sz w:val="21"/>
                <w:szCs w:val="21"/>
              </w:rPr>
              <w:t>天线极化</w:t>
            </w:r>
          </w:p>
        </w:tc>
        <w:tc>
          <w:tcPr>
            <w:tcW w:w="3618" w:type="dxa"/>
            <w:noWrap w:val="0"/>
            <w:vAlign w:val="center"/>
          </w:tcPr>
          <w:p>
            <w:pPr>
              <w:widowControl/>
              <w:spacing w:line="300" w:lineRule="exact"/>
              <w:ind w:firstLine="0" w:firstLineChars="0"/>
              <w:jc w:val="center"/>
              <w:rPr>
                <w:rFonts w:ascii="华文细黑" w:hAnsi="华文细黑" w:cs="宋体"/>
                <w:kern w:val="0"/>
                <w:sz w:val="21"/>
                <w:szCs w:val="21"/>
              </w:rPr>
            </w:pPr>
            <w:r>
              <w:rPr>
                <w:rFonts w:hint="eastAsia" w:ascii="华文细黑" w:hAnsi="华文细黑" w:cs="宋体"/>
                <w:kern w:val="0"/>
                <w:sz w:val="21"/>
                <w:szCs w:val="21"/>
              </w:rPr>
              <w:t>右旋圆极化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208" w:type="dxa"/>
            <w:gridSpan w:val="2"/>
            <w:noWrap w:val="0"/>
            <w:vAlign w:val="center"/>
          </w:tcPr>
          <w:p>
            <w:pPr>
              <w:widowControl/>
              <w:spacing w:line="300" w:lineRule="exact"/>
              <w:ind w:firstLine="0" w:firstLineChars="0"/>
              <w:jc w:val="center"/>
              <w:rPr>
                <w:rFonts w:ascii="华文细黑" w:hAnsi="华文细黑" w:cs="宋体"/>
                <w:kern w:val="0"/>
                <w:sz w:val="21"/>
                <w:szCs w:val="21"/>
              </w:rPr>
            </w:pPr>
            <w:r>
              <w:rPr>
                <w:rFonts w:hint="eastAsia" w:ascii="华文细黑" w:hAnsi="华文细黑" w:cs="宋体"/>
                <w:kern w:val="0"/>
                <w:sz w:val="21"/>
                <w:szCs w:val="21"/>
              </w:rPr>
              <w:t>调制方式</w:t>
            </w:r>
          </w:p>
        </w:tc>
        <w:tc>
          <w:tcPr>
            <w:tcW w:w="3618" w:type="dxa"/>
            <w:noWrap w:val="0"/>
            <w:vAlign w:val="center"/>
          </w:tcPr>
          <w:p>
            <w:pPr>
              <w:widowControl/>
              <w:spacing w:line="300" w:lineRule="exact"/>
              <w:ind w:firstLine="0" w:firstLineChars="0"/>
              <w:jc w:val="center"/>
              <w:rPr>
                <w:rFonts w:ascii="华文细黑" w:hAnsi="华文细黑" w:cs="宋体"/>
                <w:kern w:val="0"/>
                <w:sz w:val="21"/>
                <w:szCs w:val="21"/>
              </w:rPr>
            </w:pPr>
            <w:r>
              <w:rPr>
                <w:rFonts w:ascii="华文细黑" w:hAnsi="华文细黑" w:cs="宋体"/>
                <w:kern w:val="0"/>
                <w:sz w:val="21"/>
                <w:szCs w:val="21"/>
              </w:rPr>
              <w:t>ASK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208" w:type="dxa"/>
            <w:gridSpan w:val="2"/>
            <w:noWrap w:val="0"/>
            <w:vAlign w:val="center"/>
          </w:tcPr>
          <w:p>
            <w:pPr>
              <w:widowControl/>
              <w:spacing w:line="300" w:lineRule="exact"/>
              <w:ind w:firstLine="0" w:firstLineChars="0"/>
              <w:jc w:val="center"/>
              <w:rPr>
                <w:rFonts w:ascii="华文细黑" w:hAnsi="华文细黑" w:cs="宋体"/>
                <w:kern w:val="0"/>
                <w:sz w:val="21"/>
                <w:szCs w:val="21"/>
              </w:rPr>
            </w:pPr>
            <w:r>
              <w:rPr>
                <w:rFonts w:hint="eastAsia" w:ascii="华文细黑" w:hAnsi="华文细黑" w:cs="宋体"/>
                <w:kern w:val="0"/>
                <w:sz w:val="21"/>
                <w:szCs w:val="21"/>
              </w:rPr>
              <w:t>调制度</w:t>
            </w:r>
          </w:p>
        </w:tc>
        <w:tc>
          <w:tcPr>
            <w:tcW w:w="3618" w:type="dxa"/>
            <w:noWrap w:val="0"/>
            <w:vAlign w:val="center"/>
          </w:tcPr>
          <w:p>
            <w:pPr>
              <w:widowControl/>
              <w:spacing w:line="300" w:lineRule="exact"/>
              <w:ind w:firstLine="0" w:firstLineChars="0"/>
              <w:jc w:val="center"/>
              <w:rPr>
                <w:rFonts w:ascii="华文细黑" w:hAnsi="华文细黑" w:cs="宋体"/>
                <w:kern w:val="0"/>
                <w:sz w:val="21"/>
                <w:szCs w:val="21"/>
              </w:rPr>
            </w:pPr>
            <w:r>
              <w:rPr>
                <w:rFonts w:ascii="华文细黑" w:hAnsi="华文细黑" w:cs="宋体"/>
                <w:kern w:val="0"/>
                <w:sz w:val="21"/>
                <w:szCs w:val="21"/>
              </w:rPr>
              <w:t>0.5</w:t>
            </w:r>
            <w:r>
              <w:rPr>
                <w:rFonts w:hint="eastAsia" w:ascii="华文细黑" w:hAnsi="华文细黑" w:cs="宋体"/>
                <w:kern w:val="0"/>
                <w:sz w:val="21"/>
                <w:szCs w:val="21"/>
              </w:rPr>
              <w:t>～</w:t>
            </w:r>
            <w:r>
              <w:rPr>
                <w:rFonts w:ascii="华文细黑" w:hAnsi="华文细黑" w:cs="宋体"/>
                <w:kern w:val="0"/>
                <w:sz w:val="21"/>
                <w:szCs w:val="21"/>
              </w:rPr>
              <w:t>0.9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208" w:type="dxa"/>
            <w:gridSpan w:val="2"/>
            <w:noWrap w:val="0"/>
            <w:vAlign w:val="center"/>
          </w:tcPr>
          <w:p>
            <w:pPr>
              <w:widowControl/>
              <w:spacing w:line="300" w:lineRule="exact"/>
              <w:ind w:firstLine="0" w:firstLineChars="0"/>
              <w:jc w:val="center"/>
              <w:rPr>
                <w:rFonts w:ascii="华文细黑" w:hAnsi="华文细黑" w:cs="宋体"/>
                <w:kern w:val="0"/>
                <w:sz w:val="21"/>
                <w:szCs w:val="21"/>
              </w:rPr>
            </w:pPr>
            <w:r>
              <w:rPr>
                <w:rFonts w:hint="eastAsia" w:ascii="华文细黑" w:hAnsi="华文细黑" w:cs="宋体"/>
                <w:kern w:val="0"/>
                <w:sz w:val="21"/>
                <w:szCs w:val="21"/>
              </w:rPr>
              <w:t>编码方式</w:t>
            </w:r>
          </w:p>
        </w:tc>
        <w:tc>
          <w:tcPr>
            <w:tcW w:w="3618" w:type="dxa"/>
            <w:noWrap w:val="0"/>
            <w:vAlign w:val="center"/>
          </w:tcPr>
          <w:p>
            <w:pPr>
              <w:widowControl/>
              <w:spacing w:line="300" w:lineRule="exact"/>
              <w:ind w:firstLine="0" w:firstLineChars="0"/>
              <w:jc w:val="center"/>
              <w:rPr>
                <w:rFonts w:ascii="华文细黑" w:hAnsi="华文细黑" w:cs="宋体"/>
                <w:kern w:val="0"/>
                <w:sz w:val="21"/>
                <w:szCs w:val="21"/>
              </w:rPr>
            </w:pPr>
            <w:r>
              <w:rPr>
                <w:rFonts w:ascii="华文细黑" w:hAnsi="华文细黑" w:cs="宋体"/>
                <w:kern w:val="0"/>
                <w:sz w:val="21"/>
                <w:szCs w:val="21"/>
              </w:rPr>
              <w:t>FM0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208" w:type="dxa"/>
            <w:gridSpan w:val="2"/>
            <w:noWrap w:val="0"/>
            <w:vAlign w:val="center"/>
          </w:tcPr>
          <w:p>
            <w:pPr>
              <w:widowControl/>
              <w:spacing w:line="300" w:lineRule="exact"/>
              <w:ind w:firstLine="0" w:firstLineChars="0"/>
              <w:jc w:val="center"/>
              <w:rPr>
                <w:rFonts w:ascii="华文细黑" w:hAnsi="华文细黑" w:cs="宋体"/>
                <w:kern w:val="0"/>
                <w:sz w:val="21"/>
                <w:szCs w:val="21"/>
              </w:rPr>
            </w:pPr>
            <w:r>
              <w:rPr>
                <w:rFonts w:hint="eastAsia" w:ascii="华文细黑" w:hAnsi="华文细黑" w:cs="宋体"/>
                <w:kern w:val="0"/>
                <w:sz w:val="21"/>
                <w:szCs w:val="21"/>
              </w:rPr>
              <w:t>位速率</w:t>
            </w:r>
          </w:p>
        </w:tc>
        <w:tc>
          <w:tcPr>
            <w:tcW w:w="3618" w:type="dxa"/>
            <w:noWrap w:val="0"/>
            <w:vAlign w:val="center"/>
          </w:tcPr>
          <w:p>
            <w:pPr>
              <w:widowControl/>
              <w:spacing w:line="300" w:lineRule="exact"/>
              <w:ind w:firstLine="0" w:firstLineChars="0"/>
              <w:jc w:val="center"/>
              <w:rPr>
                <w:rFonts w:ascii="华文细黑" w:hAnsi="华文细黑" w:cs="宋体"/>
                <w:kern w:val="0"/>
                <w:sz w:val="21"/>
                <w:szCs w:val="21"/>
              </w:rPr>
            </w:pPr>
            <w:r>
              <w:rPr>
                <w:rFonts w:hint="eastAsia" w:ascii="华文细黑" w:hAnsi="华文细黑" w:cs="宋体"/>
                <w:kern w:val="0"/>
                <w:sz w:val="21"/>
                <w:szCs w:val="21"/>
              </w:rPr>
              <w:t>下行：</w:t>
            </w:r>
            <w:r>
              <w:rPr>
                <w:rFonts w:ascii="华文细黑" w:hAnsi="华文细黑" w:cs="宋体"/>
                <w:kern w:val="0"/>
                <w:sz w:val="21"/>
                <w:szCs w:val="21"/>
              </w:rPr>
              <w:t>256 kbit/s</w:t>
            </w:r>
            <w:r>
              <w:rPr>
                <w:rFonts w:hint="eastAsia" w:ascii="华文细黑" w:hAnsi="华文细黑" w:cs="宋体"/>
                <w:kern w:val="0"/>
                <w:sz w:val="21"/>
                <w:szCs w:val="21"/>
              </w:rPr>
              <w:t>；上行：</w:t>
            </w:r>
            <w:r>
              <w:rPr>
                <w:rFonts w:ascii="华文细黑" w:hAnsi="华文细黑" w:cs="宋体"/>
                <w:kern w:val="0"/>
                <w:sz w:val="21"/>
                <w:szCs w:val="21"/>
              </w:rPr>
              <w:t>512 kbit/s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208" w:type="dxa"/>
            <w:gridSpan w:val="2"/>
            <w:noWrap w:val="0"/>
            <w:vAlign w:val="center"/>
          </w:tcPr>
          <w:p>
            <w:pPr>
              <w:widowControl/>
              <w:spacing w:line="300" w:lineRule="exact"/>
              <w:ind w:firstLine="0" w:firstLineChars="0"/>
              <w:jc w:val="center"/>
              <w:rPr>
                <w:rFonts w:ascii="华文细黑" w:hAnsi="华文细黑" w:cs="宋体"/>
                <w:kern w:val="0"/>
                <w:sz w:val="21"/>
                <w:szCs w:val="21"/>
              </w:rPr>
            </w:pPr>
            <w:r>
              <w:rPr>
                <w:rFonts w:hint="eastAsia" w:ascii="华文细黑" w:hAnsi="华文细黑" w:cs="宋体"/>
                <w:kern w:val="0"/>
                <w:sz w:val="21"/>
                <w:szCs w:val="21"/>
              </w:rPr>
              <w:t>位时钟精度</w:t>
            </w:r>
          </w:p>
        </w:tc>
        <w:tc>
          <w:tcPr>
            <w:tcW w:w="3618" w:type="dxa"/>
            <w:noWrap w:val="0"/>
            <w:vAlign w:val="center"/>
          </w:tcPr>
          <w:p>
            <w:pPr>
              <w:widowControl/>
              <w:spacing w:line="300" w:lineRule="exact"/>
              <w:ind w:firstLine="0" w:firstLineChars="0"/>
              <w:jc w:val="center"/>
              <w:rPr>
                <w:rFonts w:ascii="华文细黑" w:hAnsi="华文细黑" w:cs="宋体"/>
                <w:kern w:val="0"/>
                <w:sz w:val="21"/>
                <w:szCs w:val="21"/>
              </w:rPr>
            </w:pPr>
            <w:r>
              <w:rPr>
                <w:rFonts w:hint="eastAsia" w:ascii="华文细黑" w:hAnsi="华文细黑" w:cs="Arial"/>
                <w:sz w:val="21"/>
                <w:szCs w:val="21"/>
              </w:rPr>
              <w:t>±</w:t>
            </w:r>
            <w:r>
              <w:rPr>
                <w:rFonts w:ascii="华文细黑" w:hAnsi="华文细黑"/>
                <w:sz w:val="21"/>
                <w:szCs w:val="21"/>
              </w:rPr>
              <w:t>100</w:t>
            </w:r>
            <w:r>
              <w:rPr>
                <w:rFonts w:hint="eastAsia" w:ascii="华文细黑" w:hAnsi="华文细黑"/>
                <w:sz w:val="21"/>
                <w:szCs w:val="21"/>
              </w:rPr>
              <w:t>×</w:t>
            </w:r>
            <w:r>
              <w:rPr>
                <w:rFonts w:ascii="华文细黑" w:hAnsi="华文细黑"/>
                <w:sz w:val="21"/>
                <w:szCs w:val="21"/>
              </w:rPr>
              <w:t>10</w:t>
            </w:r>
            <w:r>
              <w:rPr>
                <w:rFonts w:ascii="华文细黑" w:hAnsi="华文细黑"/>
                <w:sz w:val="21"/>
                <w:szCs w:val="21"/>
                <w:vertAlign w:val="superscript"/>
              </w:rPr>
              <w:t>-6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208" w:type="dxa"/>
            <w:gridSpan w:val="2"/>
            <w:noWrap w:val="0"/>
            <w:vAlign w:val="center"/>
          </w:tcPr>
          <w:p>
            <w:pPr>
              <w:widowControl/>
              <w:spacing w:line="300" w:lineRule="exact"/>
              <w:ind w:firstLine="0" w:firstLineChars="0"/>
              <w:jc w:val="center"/>
              <w:rPr>
                <w:rFonts w:ascii="华文细黑" w:hAnsi="华文细黑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华文细黑" w:hAnsi="华文细黑" w:cs="宋体"/>
                <w:b/>
                <w:kern w:val="0"/>
                <w:sz w:val="21"/>
                <w:szCs w:val="21"/>
              </w:rPr>
              <w:t>接收灵敏度</w:t>
            </w:r>
          </w:p>
        </w:tc>
        <w:tc>
          <w:tcPr>
            <w:tcW w:w="3618" w:type="dxa"/>
            <w:noWrap w:val="0"/>
            <w:vAlign w:val="center"/>
          </w:tcPr>
          <w:p>
            <w:pPr>
              <w:widowControl/>
              <w:spacing w:line="300" w:lineRule="exact"/>
              <w:ind w:firstLine="0" w:firstLineChars="0"/>
              <w:jc w:val="center"/>
              <w:rPr>
                <w:rFonts w:ascii="华文细黑" w:hAnsi="华文细黑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华文细黑" w:hAnsi="华文细黑" w:cs="宋体"/>
                <w:b/>
                <w:kern w:val="0"/>
                <w:sz w:val="21"/>
                <w:szCs w:val="21"/>
              </w:rPr>
              <w:t>≤</w:t>
            </w:r>
            <w:r>
              <w:rPr>
                <w:rFonts w:ascii="华文细黑" w:hAnsi="华文细黑" w:cs="宋体"/>
                <w:b/>
                <w:kern w:val="0"/>
                <w:sz w:val="21"/>
                <w:szCs w:val="21"/>
              </w:rPr>
              <w:t>-107dBm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208" w:type="dxa"/>
            <w:gridSpan w:val="2"/>
            <w:noWrap w:val="0"/>
            <w:vAlign w:val="center"/>
          </w:tcPr>
          <w:p>
            <w:pPr>
              <w:widowControl/>
              <w:spacing w:line="300" w:lineRule="exact"/>
              <w:ind w:firstLine="0" w:firstLineChars="0"/>
              <w:jc w:val="center"/>
              <w:rPr>
                <w:rFonts w:hint="eastAsia" w:ascii="华文细黑" w:hAnsi="华文细黑" w:cs="宋体"/>
                <w:kern w:val="0"/>
                <w:sz w:val="21"/>
                <w:szCs w:val="21"/>
              </w:rPr>
            </w:pPr>
            <w:r>
              <w:rPr>
                <w:rFonts w:hint="eastAsia" w:ascii="华文细黑" w:hAnsi="华文细黑" w:cs="宋体"/>
                <w:kern w:val="0"/>
                <w:sz w:val="21"/>
                <w:szCs w:val="21"/>
              </w:rPr>
              <w:t>通信加密</w:t>
            </w:r>
          </w:p>
        </w:tc>
        <w:tc>
          <w:tcPr>
            <w:tcW w:w="3618" w:type="dxa"/>
            <w:noWrap w:val="0"/>
            <w:vAlign w:val="center"/>
          </w:tcPr>
          <w:p>
            <w:pPr>
              <w:widowControl/>
              <w:spacing w:line="300" w:lineRule="exact"/>
              <w:ind w:firstLine="0" w:firstLineChars="0"/>
              <w:jc w:val="center"/>
              <w:rPr>
                <w:rFonts w:hint="eastAsia" w:ascii="华文细黑" w:hAnsi="华文细黑" w:cs="宋体"/>
                <w:kern w:val="0"/>
                <w:sz w:val="21"/>
                <w:szCs w:val="21"/>
              </w:rPr>
            </w:pPr>
            <w:r>
              <w:rPr>
                <w:rFonts w:hint="eastAsia" w:ascii="华文细黑" w:hAnsi="华文细黑" w:cs="宋体"/>
                <w:kern w:val="0"/>
                <w:sz w:val="21"/>
                <w:szCs w:val="21"/>
              </w:rPr>
              <w:t>多重DES 算法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08" w:type="dxa"/>
            <w:gridSpan w:val="2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华文细黑" w:hAnsi="华文细黑"/>
                <w:sz w:val="21"/>
                <w:szCs w:val="21"/>
              </w:rPr>
            </w:pPr>
            <w:r>
              <w:rPr>
                <w:rFonts w:hint="eastAsia" w:ascii="华文细黑" w:hAnsi="华文细黑"/>
                <w:sz w:val="21"/>
                <w:szCs w:val="21"/>
              </w:rPr>
              <w:t>唤醒方式</w:t>
            </w:r>
          </w:p>
        </w:tc>
        <w:tc>
          <w:tcPr>
            <w:tcW w:w="3618" w:type="dxa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华文细黑" w:hAnsi="华文细黑"/>
                <w:sz w:val="21"/>
                <w:szCs w:val="21"/>
              </w:rPr>
            </w:pPr>
            <w:r>
              <w:rPr>
                <w:rFonts w:hint="eastAsia" w:ascii="华文细黑" w:hAnsi="华文细黑"/>
                <w:sz w:val="21"/>
                <w:szCs w:val="21"/>
              </w:rPr>
              <w:t>提供</w:t>
            </w:r>
            <w:r>
              <w:rPr>
                <w:rFonts w:ascii="华文细黑" w:hAnsi="华文细黑"/>
                <w:sz w:val="21"/>
                <w:szCs w:val="21"/>
              </w:rPr>
              <w:t>15~17</w:t>
            </w:r>
            <w:r>
              <w:rPr>
                <w:rFonts w:hint="eastAsia" w:ascii="华文细黑" w:hAnsi="华文细黑"/>
                <w:sz w:val="21"/>
                <w:szCs w:val="21"/>
              </w:rPr>
              <w:t>个周期</w:t>
            </w:r>
            <w:r>
              <w:rPr>
                <w:rFonts w:ascii="华文细黑" w:hAnsi="华文细黑"/>
                <w:sz w:val="21"/>
                <w:szCs w:val="21"/>
              </w:rPr>
              <w:t>14kHz</w:t>
            </w:r>
            <w:r>
              <w:rPr>
                <w:rFonts w:hint="eastAsia" w:ascii="华文细黑" w:hAnsi="华文细黑"/>
                <w:sz w:val="21"/>
                <w:szCs w:val="21"/>
              </w:rPr>
              <w:t>方波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08" w:type="dxa"/>
            <w:gridSpan w:val="2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eastAsia" w:ascii="华文细黑" w:hAnsi="华文细黑"/>
                <w:sz w:val="21"/>
                <w:szCs w:val="21"/>
              </w:rPr>
            </w:pPr>
            <w:r>
              <w:rPr>
                <w:rFonts w:hint="eastAsia" w:ascii="华文细黑" w:hAnsi="华文细黑"/>
                <w:sz w:val="21"/>
                <w:szCs w:val="21"/>
              </w:rPr>
              <w:t>通信检错</w:t>
            </w:r>
          </w:p>
        </w:tc>
        <w:tc>
          <w:tcPr>
            <w:tcW w:w="3618" w:type="dxa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eastAsia" w:ascii="华文细黑" w:hAnsi="华文细黑"/>
                <w:sz w:val="21"/>
                <w:szCs w:val="21"/>
              </w:rPr>
            </w:pPr>
            <w:r>
              <w:rPr>
                <w:rFonts w:hint="eastAsia" w:ascii="华文细黑" w:hAnsi="华文细黑"/>
                <w:sz w:val="21"/>
                <w:szCs w:val="21"/>
              </w:rPr>
              <w:t>CRC16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08" w:type="dxa"/>
            <w:gridSpan w:val="2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华文细黑" w:hAnsi="华文细黑"/>
                <w:sz w:val="21"/>
                <w:szCs w:val="21"/>
              </w:rPr>
            </w:pPr>
            <w:r>
              <w:rPr>
                <w:rFonts w:hint="eastAsia" w:ascii="华文细黑" w:hAnsi="华文细黑"/>
                <w:sz w:val="21"/>
                <w:szCs w:val="21"/>
              </w:rPr>
              <w:t>微波通信距离</w:t>
            </w:r>
          </w:p>
        </w:tc>
        <w:tc>
          <w:tcPr>
            <w:tcW w:w="3618" w:type="dxa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华文细黑" w:hAnsi="华文细黑"/>
                <w:sz w:val="21"/>
                <w:szCs w:val="21"/>
              </w:rPr>
            </w:pPr>
            <w:r>
              <w:rPr>
                <w:rFonts w:hint="eastAsia" w:ascii="华文细黑" w:hAnsi="华文细黑" w:cs="宋体"/>
                <w:kern w:val="0"/>
                <w:sz w:val="21"/>
                <w:szCs w:val="21"/>
              </w:rPr>
              <w:t>≤</w:t>
            </w:r>
            <w:r>
              <w:rPr>
                <w:rFonts w:ascii="华文细黑" w:hAnsi="华文细黑"/>
                <w:sz w:val="21"/>
                <w:szCs w:val="21"/>
              </w:rPr>
              <w:t>20m</w:t>
            </w:r>
            <w:r>
              <w:rPr>
                <w:rFonts w:hint="eastAsia" w:ascii="华文细黑" w:hAnsi="华文细黑"/>
                <w:sz w:val="21"/>
                <w:szCs w:val="21"/>
              </w:rPr>
              <w:t>，可调整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08" w:type="dxa"/>
            <w:gridSpan w:val="2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华文细黑" w:hAnsi="华文细黑"/>
                <w:sz w:val="21"/>
                <w:szCs w:val="21"/>
              </w:rPr>
            </w:pPr>
            <w:r>
              <w:rPr>
                <w:rFonts w:hint="eastAsia" w:ascii="华文细黑" w:hAnsi="华文细黑"/>
                <w:sz w:val="21"/>
                <w:szCs w:val="21"/>
              </w:rPr>
              <w:t>位误码率（</w:t>
            </w:r>
            <w:r>
              <w:rPr>
                <w:rFonts w:ascii="华文细黑" w:hAnsi="华文细黑"/>
                <w:sz w:val="21"/>
                <w:szCs w:val="21"/>
              </w:rPr>
              <w:t>B.E.R.</w:t>
            </w:r>
            <w:r>
              <w:rPr>
                <w:rFonts w:hint="eastAsia" w:ascii="华文细黑" w:hAnsi="华文细黑"/>
                <w:sz w:val="21"/>
                <w:szCs w:val="21"/>
              </w:rPr>
              <w:t>）</w:t>
            </w:r>
          </w:p>
        </w:tc>
        <w:tc>
          <w:tcPr>
            <w:tcW w:w="3618" w:type="dxa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华文细黑" w:hAnsi="华文细黑" w:cs="宋体"/>
                <w:kern w:val="0"/>
                <w:sz w:val="21"/>
                <w:szCs w:val="21"/>
              </w:rPr>
            </w:pPr>
            <w:r>
              <w:rPr>
                <w:rFonts w:hint="eastAsia" w:ascii="华文细黑" w:hAnsi="华文细黑" w:cs="宋体"/>
                <w:kern w:val="0"/>
                <w:sz w:val="21"/>
                <w:szCs w:val="21"/>
              </w:rPr>
              <w:t>≤</w:t>
            </w:r>
            <w:r>
              <w:rPr>
                <w:rFonts w:ascii="华文细黑" w:hAnsi="华文细黑" w:cs="宋体"/>
                <w:kern w:val="0"/>
                <w:sz w:val="21"/>
                <w:szCs w:val="21"/>
              </w:rPr>
              <w:t>10</w:t>
            </w:r>
            <w:r>
              <w:rPr>
                <w:rFonts w:hint="eastAsia" w:ascii="华文细黑" w:hAnsi="华文细黑" w:cs="宋体"/>
                <w:kern w:val="0"/>
                <w:sz w:val="21"/>
                <w:szCs w:val="21"/>
              </w:rPr>
              <w:t>×</w:t>
            </w:r>
            <w:r>
              <w:rPr>
                <w:rFonts w:ascii="华文细黑" w:hAnsi="华文细黑" w:cs="宋体"/>
                <w:kern w:val="0"/>
                <w:sz w:val="21"/>
                <w:szCs w:val="21"/>
              </w:rPr>
              <w:t>10</w:t>
            </w:r>
            <w:r>
              <w:rPr>
                <w:rFonts w:ascii="华文细黑" w:hAnsi="华文细黑" w:cs="宋体"/>
                <w:kern w:val="0"/>
                <w:sz w:val="21"/>
                <w:szCs w:val="21"/>
                <w:vertAlign w:val="superscript"/>
              </w:rPr>
              <w:t>-6</w:t>
            </w:r>
          </w:p>
        </w:tc>
      </w:tr>
      <w:bookmarkEnd w:id="26"/>
      <w:bookmarkEnd w:id="27"/>
      <w:bookmarkEnd w:id="28"/>
      <w:bookmarkEnd w:id="29"/>
    </w:tbl>
    <w:p>
      <w:pPr>
        <w:pStyle w:val="5"/>
        <w:numPr>
          <w:ilvl w:val="3"/>
          <w:numId w:val="7"/>
        </w:numPr>
        <w:rPr>
          <w:rFonts w:hint="eastAsia" w:ascii="黑体" w:hAnsi="黑体"/>
          <w:sz w:val="24"/>
          <w:szCs w:val="24"/>
        </w:rPr>
      </w:pPr>
      <w:bookmarkStart w:id="30" w:name="_Toc469325800"/>
      <w:bookmarkStart w:id="31" w:name="_Toc295388930"/>
      <w:bookmarkStart w:id="32" w:name="_Toc519076081"/>
      <w:bookmarkStart w:id="33" w:name="_Toc467506871"/>
      <w:bookmarkStart w:id="34" w:name="_Toc289417431"/>
      <w:bookmarkStart w:id="35" w:name="_Toc295388931"/>
      <w:bookmarkStart w:id="36" w:name="_Toc467589889"/>
      <w:bookmarkStart w:id="37" w:name="_Toc289280091"/>
      <w:bookmarkStart w:id="38" w:name="_Toc430009204"/>
      <w:bookmarkStart w:id="39" w:name="_Toc288937488"/>
      <w:r>
        <w:rPr>
          <w:rFonts w:hint="eastAsia" w:ascii="黑体" w:hAnsi="黑体"/>
          <w:sz w:val="24"/>
          <w:szCs w:val="24"/>
        </w:rPr>
        <w:t>电气特性</w:t>
      </w:r>
      <w:bookmarkEnd w:id="30"/>
      <w:bookmarkEnd w:id="31"/>
      <w:bookmarkEnd w:id="32"/>
      <w:bookmarkEnd w:id="33"/>
    </w:p>
    <w:tbl>
      <w:tblPr>
        <w:tblStyle w:val="14"/>
        <w:tblW w:w="0" w:type="auto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7"/>
        <w:gridCol w:w="6621"/>
      </w:tblGrid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57" w:type="dxa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华文细黑" w:hAnsi="华文细黑"/>
                <w:b/>
                <w:sz w:val="21"/>
                <w:szCs w:val="21"/>
              </w:rPr>
            </w:pPr>
            <w:r>
              <w:rPr>
                <w:rFonts w:hint="eastAsia" w:ascii="华文细黑" w:hAnsi="华文细黑"/>
                <w:b/>
                <w:sz w:val="21"/>
                <w:szCs w:val="21"/>
              </w:rPr>
              <w:t>参数</w:t>
            </w:r>
          </w:p>
        </w:tc>
        <w:tc>
          <w:tcPr>
            <w:tcW w:w="6621" w:type="dxa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华文细黑" w:hAnsi="华文细黑"/>
                <w:b/>
                <w:sz w:val="21"/>
                <w:szCs w:val="21"/>
              </w:rPr>
            </w:pPr>
            <w:r>
              <w:rPr>
                <w:rFonts w:hint="eastAsia" w:ascii="华文细黑" w:hAnsi="华文细黑"/>
                <w:b/>
                <w:sz w:val="21"/>
                <w:szCs w:val="21"/>
              </w:rPr>
              <w:t>规格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57" w:type="dxa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华文细黑" w:hAnsi="华文细黑"/>
                <w:sz w:val="21"/>
                <w:szCs w:val="21"/>
              </w:rPr>
            </w:pPr>
            <w:r>
              <w:rPr>
                <w:rFonts w:hint="eastAsia" w:ascii="华文细黑" w:hAnsi="华文细黑"/>
                <w:sz w:val="21"/>
                <w:szCs w:val="21"/>
              </w:rPr>
              <w:t>电源</w:t>
            </w:r>
          </w:p>
        </w:tc>
        <w:tc>
          <w:tcPr>
            <w:tcW w:w="6621" w:type="dxa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华文细黑" w:hAnsi="华文细黑"/>
                <w:sz w:val="21"/>
                <w:szCs w:val="21"/>
              </w:rPr>
            </w:pPr>
            <w:r>
              <w:rPr>
                <w:rFonts w:hint="eastAsia" w:ascii="华文细黑" w:hAnsi="华文细黑"/>
                <w:sz w:val="21"/>
                <w:szCs w:val="21"/>
              </w:rPr>
              <w:t>交流</w:t>
            </w:r>
            <w:r>
              <w:rPr>
                <w:rFonts w:ascii="华文细黑" w:hAnsi="华文细黑"/>
                <w:sz w:val="21"/>
                <w:szCs w:val="21"/>
              </w:rPr>
              <w:t>220V/50Hz</w:t>
            </w:r>
            <w:r>
              <w:rPr>
                <w:rFonts w:hint="eastAsia" w:ascii="华文细黑" w:hAnsi="华文细黑"/>
                <w:sz w:val="21"/>
                <w:szCs w:val="21"/>
              </w:rPr>
              <w:t>，电压适应范围</w:t>
            </w:r>
            <w:r>
              <w:rPr>
                <w:rFonts w:ascii="华文细黑" w:hAnsi="华文细黑"/>
                <w:sz w:val="21"/>
                <w:szCs w:val="21"/>
              </w:rPr>
              <w:t>85-300V</w:t>
            </w:r>
            <w:r>
              <w:rPr>
                <w:rFonts w:hint="eastAsia" w:ascii="华文细黑" w:hAnsi="华文细黑"/>
                <w:sz w:val="21"/>
                <w:szCs w:val="21"/>
              </w:rPr>
              <w:t>交流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57" w:type="dxa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华文细黑" w:hAnsi="华文细黑"/>
                <w:sz w:val="21"/>
                <w:szCs w:val="21"/>
              </w:rPr>
            </w:pPr>
            <w:r>
              <w:rPr>
                <w:rFonts w:hint="eastAsia" w:ascii="华文细黑" w:hAnsi="华文细黑"/>
                <w:sz w:val="21"/>
                <w:szCs w:val="21"/>
              </w:rPr>
              <w:t>通信接口</w:t>
            </w:r>
          </w:p>
        </w:tc>
        <w:tc>
          <w:tcPr>
            <w:tcW w:w="6621" w:type="dxa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华文细黑" w:hAnsi="华文细黑"/>
                <w:sz w:val="21"/>
                <w:szCs w:val="21"/>
              </w:rPr>
            </w:pPr>
            <w:r>
              <w:rPr>
                <w:rFonts w:ascii="华文细黑" w:hAnsi="华文细黑"/>
                <w:sz w:val="21"/>
                <w:szCs w:val="21"/>
              </w:rPr>
              <w:t>RS232/RS485</w:t>
            </w:r>
            <w:r>
              <w:rPr>
                <w:rFonts w:hint="eastAsia" w:ascii="华文细黑" w:hAnsi="华文细黑"/>
                <w:sz w:val="21"/>
                <w:szCs w:val="21"/>
              </w:rPr>
              <w:t>/</w:t>
            </w:r>
            <w:r>
              <w:rPr>
                <w:rFonts w:ascii="华文细黑" w:hAnsi="华文细黑"/>
                <w:sz w:val="21"/>
                <w:szCs w:val="21"/>
              </w:rPr>
              <w:t>RS422@115200</w:t>
            </w:r>
            <w:r>
              <w:rPr>
                <w:rFonts w:hint="eastAsia" w:ascii="华文细黑" w:hAnsi="华文细黑"/>
                <w:sz w:val="21"/>
                <w:szCs w:val="21"/>
              </w:rPr>
              <w:t>波特、以太网、</w:t>
            </w:r>
            <w:r>
              <w:rPr>
                <w:rFonts w:ascii="华文细黑" w:hAnsi="华文细黑"/>
                <w:sz w:val="21"/>
                <w:szCs w:val="21"/>
              </w:rPr>
              <w:t>USB1.1</w:t>
            </w:r>
            <w:r>
              <w:rPr>
                <w:rFonts w:hint="eastAsia" w:ascii="华文细黑" w:hAnsi="华文细黑"/>
                <w:sz w:val="21"/>
                <w:szCs w:val="21"/>
              </w:rPr>
              <w:t>或</w:t>
            </w:r>
            <w:r>
              <w:rPr>
                <w:rFonts w:ascii="华文细黑" w:hAnsi="华文细黑"/>
                <w:sz w:val="21"/>
                <w:szCs w:val="21"/>
              </w:rPr>
              <w:t>USB2.0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57" w:type="dxa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华文细黑" w:hAnsi="华文细黑"/>
                <w:sz w:val="21"/>
                <w:szCs w:val="21"/>
              </w:rPr>
            </w:pPr>
            <w:r>
              <w:rPr>
                <w:rFonts w:hint="eastAsia" w:ascii="华文细黑" w:hAnsi="华文细黑"/>
                <w:sz w:val="21"/>
                <w:szCs w:val="21"/>
              </w:rPr>
              <w:t>电气接口</w:t>
            </w:r>
          </w:p>
        </w:tc>
        <w:tc>
          <w:tcPr>
            <w:tcW w:w="6621" w:type="dxa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华文细黑" w:hAnsi="华文细黑"/>
                <w:sz w:val="21"/>
                <w:szCs w:val="21"/>
              </w:rPr>
            </w:pPr>
            <w:r>
              <w:rPr>
                <w:rFonts w:ascii="华文细黑" w:hAnsi="华文细黑"/>
                <w:sz w:val="21"/>
                <w:szCs w:val="21"/>
              </w:rPr>
              <w:t>2</w:t>
            </w:r>
            <w:r>
              <w:rPr>
                <w:rFonts w:hint="eastAsia" w:ascii="华文细黑" w:hAnsi="华文细黑"/>
                <w:sz w:val="21"/>
                <w:szCs w:val="21"/>
              </w:rPr>
              <w:t>路线圈控制输入、</w:t>
            </w:r>
            <w:r>
              <w:rPr>
                <w:rFonts w:ascii="华文细黑" w:hAnsi="华文细黑"/>
                <w:sz w:val="21"/>
                <w:szCs w:val="21"/>
              </w:rPr>
              <w:t>4</w:t>
            </w:r>
            <w:r>
              <w:rPr>
                <w:rFonts w:hint="eastAsia" w:ascii="华文细黑" w:hAnsi="华文细黑"/>
                <w:sz w:val="21"/>
                <w:szCs w:val="21"/>
              </w:rPr>
              <w:t>路光电隔离输入、2路光电隔离输出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57" w:type="dxa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华文细黑" w:hAnsi="华文细黑"/>
                <w:sz w:val="21"/>
                <w:szCs w:val="21"/>
              </w:rPr>
            </w:pPr>
            <w:r>
              <w:rPr>
                <w:rFonts w:hint="eastAsia" w:ascii="华文细黑" w:hAnsi="华文细黑"/>
                <w:sz w:val="21"/>
                <w:szCs w:val="21"/>
              </w:rPr>
              <w:t>其它接口</w:t>
            </w:r>
          </w:p>
        </w:tc>
        <w:tc>
          <w:tcPr>
            <w:tcW w:w="6621" w:type="dxa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华文细黑" w:hAnsi="华文细黑"/>
                <w:sz w:val="21"/>
                <w:szCs w:val="21"/>
              </w:rPr>
            </w:pPr>
            <w:r>
              <w:rPr>
                <w:rFonts w:hint="eastAsia" w:ascii="华文细黑" w:hAnsi="华文细黑"/>
                <w:sz w:val="21"/>
                <w:szCs w:val="21"/>
              </w:rPr>
              <w:t>支持</w:t>
            </w:r>
            <w:r>
              <w:rPr>
                <w:rFonts w:ascii="华文细黑" w:hAnsi="华文细黑"/>
                <w:sz w:val="21"/>
                <w:szCs w:val="21"/>
              </w:rPr>
              <w:t>4</w:t>
            </w:r>
            <w:r>
              <w:rPr>
                <w:rFonts w:hint="eastAsia" w:ascii="华文细黑" w:hAnsi="华文细黑"/>
                <w:sz w:val="21"/>
                <w:szCs w:val="21"/>
              </w:rPr>
              <w:t>路</w:t>
            </w:r>
            <w:r>
              <w:rPr>
                <w:rFonts w:ascii="华文细黑" w:hAnsi="华文细黑"/>
                <w:sz w:val="21"/>
                <w:szCs w:val="21"/>
              </w:rPr>
              <w:t>PSAM</w:t>
            </w:r>
            <w:r>
              <w:rPr>
                <w:rFonts w:hint="eastAsia" w:ascii="华文细黑" w:hAnsi="华文细黑"/>
                <w:sz w:val="21"/>
                <w:szCs w:val="21"/>
              </w:rPr>
              <w:t>卡、</w:t>
            </w:r>
            <w:r>
              <w:rPr>
                <w:rFonts w:ascii="华文细黑" w:hAnsi="华文细黑"/>
                <w:sz w:val="21"/>
                <w:szCs w:val="21"/>
              </w:rPr>
              <w:t>1</w:t>
            </w:r>
            <w:r>
              <w:rPr>
                <w:rFonts w:hint="eastAsia" w:ascii="华文细黑" w:hAnsi="华文细黑"/>
                <w:sz w:val="21"/>
                <w:szCs w:val="21"/>
              </w:rPr>
              <w:t>路</w:t>
            </w:r>
            <w:r>
              <w:rPr>
                <w:rFonts w:ascii="华文细黑" w:hAnsi="华文细黑"/>
                <w:sz w:val="21"/>
                <w:szCs w:val="21"/>
              </w:rPr>
              <w:t>SD</w:t>
            </w:r>
            <w:r>
              <w:rPr>
                <w:rFonts w:hint="eastAsia" w:ascii="华文细黑" w:hAnsi="华文细黑"/>
                <w:sz w:val="21"/>
                <w:szCs w:val="21"/>
              </w:rPr>
              <w:t>卡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57" w:type="dxa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华文细黑" w:hAnsi="华文细黑"/>
                <w:sz w:val="21"/>
                <w:szCs w:val="21"/>
              </w:rPr>
            </w:pPr>
            <w:r>
              <w:rPr>
                <w:rFonts w:hint="eastAsia" w:ascii="华文细黑" w:hAnsi="华文细黑"/>
                <w:sz w:val="21"/>
                <w:szCs w:val="21"/>
              </w:rPr>
              <w:t>通信检错</w:t>
            </w:r>
          </w:p>
        </w:tc>
        <w:tc>
          <w:tcPr>
            <w:tcW w:w="6621" w:type="dxa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华文细黑" w:hAnsi="华文细黑"/>
                <w:sz w:val="21"/>
                <w:szCs w:val="21"/>
              </w:rPr>
            </w:pPr>
            <w:r>
              <w:rPr>
                <w:rFonts w:ascii="华文细黑" w:hAnsi="华文细黑"/>
                <w:sz w:val="21"/>
                <w:szCs w:val="21"/>
              </w:rPr>
              <w:t>DSRC</w:t>
            </w:r>
            <w:r>
              <w:rPr>
                <w:rFonts w:hint="eastAsia" w:ascii="华文细黑" w:hAnsi="华文细黑"/>
                <w:sz w:val="21"/>
                <w:szCs w:val="21"/>
              </w:rPr>
              <w:t>：</w:t>
            </w:r>
            <w:r>
              <w:rPr>
                <w:rFonts w:ascii="华文细黑" w:hAnsi="华文细黑"/>
                <w:sz w:val="21"/>
                <w:szCs w:val="21"/>
              </w:rPr>
              <w:t>CRC16</w:t>
            </w:r>
            <w:r>
              <w:rPr>
                <w:rFonts w:hint="eastAsia" w:ascii="华文细黑" w:hAnsi="华文细黑"/>
                <w:sz w:val="21"/>
                <w:szCs w:val="21"/>
              </w:rPr>
              <w:t>循环冗余校验；</w:t>
            </w:r>
            <w:r>
              <w:rPr>
                <w:rFonts w:ascii="华文细黑" w:hAnsi="华文细黑"/>
                <w:sz w:val="21"/>
                <w:szCs w:val="21"/>
              </w:rPr>
              <w:t>RS232/485/</w:t>
            </w:r>
            <w:r>
              <w:rPr>
                <w:rFonts w:hint="eastAsia" w:ascii="华文细黑" w:hAnsi="华文细黑"/>
                <w:sz w:val="21"/>
                <w:szCs w:val="21"/>
              </w:rPr>
              <w:t>RS</w:t>
            </w:r>
            <w:r>
              <w:rPr>
                <w:rFonts w:ascii="华文细黑" w:hAnsi="华文细黑"/>
                <w:sz w:val="21"/>
                <w:szCs w:val="21"/>
              </w:rPr>
              <w:t>422</w:t>
            </w:r>
            <w:r>
              <w:rPr>
                <w:rFonts w:hint="eastAsia" w:ascii="华文细黑" w:hAnsi="华文细黑"/>
                <w:sz w:val="21"/>
                <w:szCs w:val="21"/>
              </w:rPr>
              <w:t>：异或和校验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57" w:type="dxa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华文细黑" w:hAnsi="华文细黑"/>
                <w:b/>
                <w:sz w:val="21"/>
                <w:szCs w:val="21"/>
              </w:rPr>
            </w:pPr>
            <w:r>
              <w:rPr>
                <w:rFonts w:hint="eastAsia" w:ascii="华文细黑" w:hAnsi="华文细黑"/>
                <w:b/>
                <w:sz w:val="21"/>
                <w:szCs w:val="21"/>
              </w:rPr>
              <w:t>典型交易时间</w:t>
            </w:r>
          </w:p>
        </w:tc>
        <w:tc>
          <w:tcPr>
            <w:tcW w:w="6621" w:type="dxa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华文细黑" w:hAnsi="华文细黑"/>
                <w:b/>
                <w:sz w:val="21"/>
                <w:szCs w:val="21"/>
              </w:rPr>
            </w:pPr>
            <w:r>
              <w:rPr>
                <w:rFonts w:hint="eastAsia" w:ascii="华文细黑" w:hAnsi="华文细黑"/>
                <w:b/>
                <w:sz w:val="21"/>
                <w:szCs w:val="21"/>
              </w:rPr>
              <w:t>≤</w:t>
            </w:r>
            <w:r>
              <w:rPr>
                <w:rFonts w:ascii="华文细黑" w:hAnsi="华文细黑"/>
                <w:b/>
                <w:sz w:val="21"/>
                <w:szCs w:val="21"/>
              </w:rPr>
              <w:t>2</w:t>
            </w:r>
            <w:r>
              <w:rPr>
                <w:rFonts w:hint="eastAsia" w:ascii="华文细黑" w:hAnsi="华文细黑"/>
                <w:b/>
                <w:sz w:val="21"/>
                <w:szCs w:val="21"/>
              </w:rPr>
              <w:t>3</w:t>
            </w:r>
            <w:r>
              <w:rPr>
                <w:rFonts w:ascii="华文细黑" w:hAnsi="华文细黑"/>
                <w:b/>
                <w:sz w:val="21"/>
                <w:szCs w:val="21"/>
              </w:rPr>
              <w:t>0ms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57" w:type="dxa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华文细黑" w:hAnsi="华文细黑"/>
                <w:sz w:val="21"/>
                <w:szCs w:val="21"/>
              </w:rPr>
            </w:pPr>
            <w:r>
              <w:rPr>
                <w:rFonts w:hint="eastAsia" w:ascii="华文细黑" w:hAnsi="华文细黑"/>
                <w:sz w:val="21"/>
                <w:szCs w:val="21"/>
              </w:rPr>
              <w:t>防雷</w:t>
            </w:r>
          </w:p>
        </w:tc>
        <w:tc>
          <w:tcPr>
            <w:tcW w:w="6621" w:type="dxa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华文细黑" w:hAnsi="华文细黑"/>
                <w:sz w:val="21"/>
                <w:szCs w:val="21"/>
              </w:rPr>
            </w:pPr>
            <w:r>
              <w:rPr>
                <w:rFonts w:hint="eastAsia" w:ascii="华文细黑" w:hAnsi="华文细黑"/>
                <w:sz w:val="21"/>
                <w:szCs w:val="21"/>
              </w:rPr>
              <w:t>气体放电管、瞬变二极管、温度保险管和压敏电阻组成的三级防雷电路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57" w:type="dxa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华文细黑" w:hAnsi="华文细黑"/>
                <w:sz w:val="21"/>
                <w:szCs w:val="21"/>
              </w:rPr>
            </w:pPr>
            <w:r>
              <w:rPr>
                <w:rFonts w:hint="eastAsia" w:ascii="华文细黑" w:hAnsi="华文细黑"/>
                <w:sz w:val="21"/>
                <w:szCs w:val="21"/>
              </w:rPr>
              <w:t>可靠性</w:t>
            </w:r>
          </w:p>
        </w:tc>
        <w:tc>
          <w:tcPr>
            <w:tcW w:w="6621" w:type="dxa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华文细黑" w:hAnsi="华文细黑"/>
                <w:sz w:val="21"/>
                <w:szCs w:val="21"/>
              </w:rPr>
            </w:pPr>
            <w:r>
              <w:rPr>
                <w:rFonts w:ascii="华文细黑" w:hAnsi="华文细黑"/>
                <w:sz w:val="21"/>
                <w:szCs w:val="21"/>
              </w:rPr>
              <w:t>MTBF</w:t>
            </w:r>
            <w:r>
              <w:rPr>
                <w:rFonts w:hint="eastAsia" w:ascii="华文细黑" w:hAnsi="华文细黑"/>
                <w:sz w:val="21"/>
                <w:szCs w:val="21"/>
              </w:rPr>
              <w:t>＞</w:t>
            </w:r>
            <w:r>
              <w:rPr>
                <w:rFonts w:ascii="华文细黑" w:hAnsi="华文细黑"/>
                <w:sz w:val="21"/>
                <w:szCs w:val="21"/>
              </w:rPr>
              <w:t>70000h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57" w:type="dxa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eastAsia" w:ascii="华文细黑" w:hAnsi="华文细黑"/>
                <w:sz w:val="21"/>
                <w:szCs w:val="21"/>
              </w:rPr>
            </w:pPr>
            <w:r>
              <w:rPr>
                <w:rFonts w:hint="eastAsia" w:ascii="华文细黑" w:hAnsi="华文细黑"/>
                <w:sz w:val="21"/>
                <w:szCs w:val="21"/>
              </w:rPr>
              <w:t>工作寿命</w:t>
            </w:r>
          </w:p>
        </w:tc>
        <w:tc>
          <w:tcPr>
            <w:tcW w:w="6621" w:type="dxa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华文细黑" w:hAnsi="华文细黑"/>
                <w:sz w:val="21"/>
                <w:szCs w:val="21"/>
              </w:rPr>
            </w:pPr>
            <w:r>
              <w:rPr>
                <w:rFonts w:hint="eastAsia" w:ascii="华文细黑" w:hAnsi="华文细黑"/>
                <w:sz w:val="21"/>
                <w:szCs w:val="21"/>
              </w:rPr>
              <w:t>≥15 年</w:t>
            </w:r>
          </w:p>
        </w:tc>
      </w:tr>
    </w:tbl>
    <w:p>
      <w:pPr>
        <w:pStyle w:val="5"/>
        <w:numPr>
          <w:ilvl w:val="3"/>
          <w:numId w:val="7"/>
        </w:numPr>
        <w:rPr>
          <w:rFonts w:hint="eastAsia" w:ascii="黑体" w:hAnsi="黑体"/>
          <w:sz w:val="24"/>
          <w:szCs w:val="24"/>
        </w:rPr>
      </w:pPr>
      <w:bookmarkStart w:id="40" w:name="_Toc519076082"/>
      <w:r>
        <w:rPr>
          <w:rFonts w:hint="eastAsia" w:ascii="黑体" w:hAnsi="黑体"/>
          <w:sz w:val="24"/>
          <w:szCs w:val="24"/>
        </w:rPr>
        <w:t>环境特性</w:t>
      </w:r>
      <w:bookmarkEnd w:id="34"/>
      <w:bookmarkEnd w:id="35"/>
      <w:bookmarkEnd w:id="36"/>
      <w:bookmarkEnd w:id="37"/>
      <w:bookmarkEnd w:id="38"/>
      <w:bookmarkEnd w:id="39"/>
      <w:bookmarkEnd w:id="40"/>
    </w:p>
    <w:tbl>
      <w:tblPr>
        <w:tblStyle w:val="14"/>
        <w:tblW w:w="0" w:type="auto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6"/>
        <w:gridCol w:w="6362"/>
      </w:tblGrid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66" w:type="dxa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华文细黑" w:hAnsi="华文细黑"/>
                <w:b/>
                <w:sz w:val="21"/>
                <w:szCs w:val="21"/>
              </w:rPr>
            </w:pPr>
            <w:r>
              <w:rPr>
                <w:rFonts w:hint="eastAsia" w:ascii="华文细黑" w:hAnsi="华文细黑"/>
                <w:b/>
                <w:sz w:val="21"/>
                <w:szCs w:val="21"/>
              </w:rPr>
              <w:t>参数</w:t>
            </w:r>
          </w:p>
        </w:tc>
        <w:tc>
          <w:tcPr>
            <w:tcW w:w="6362" w:type="dxa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华文细黑" w:hAnsi="华文细黑"/>
                <w:b/>
                <w:sz w:val="21"/>
                <w:szCs w:val="21"/>
              </w:rPr>
            </w:pPr>
            <w:r>
              <w:rPr>
                <w:rFonts w:hint="eastAsia" w:ascii="华文细黑" w:hAnsi="华文细黑"/>
                <w:b/>
                <w:sz w:val="21"/>
                <w:szCs w:val="21"/>
              </w:rPr>
              <w:t>规格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66" w:type="dxa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华文细黑" w:hAnsi="华文细黑"/>
                <w:sz w:val="21"/>
                <w:szCs w:val="21"/>
              </w:rPr>
            </w:pPr>
            <w:r>
              <w:rPr>
                <w:rFonts w:hint="eastAsia" w:ascii="华文细黑" w:hAnsi="华文细黑"/>
                <w:sz w:val="21"/>
                <w:szCs w:val="21"/>
              </w:rPr>
              <w:t>工作温度</w:t>
            </w:r>
          </w:p>
        </w:tc>
        <w:tc>
          <w:tcPr>
            <w:tcW w:w="6362" w:type="dxa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华文细黑" w:hAnsi="华文细黑"/>
                <w:sz w:val="21"/>
                <w:szCs w:val="21"/>
              </w:rPr>
            </w:pPr>
            <w:r>
              <w:rPr>
                <w:rFonts w:ascii="华文细黑" w:hAnsi="华文细黑"/>
                <w:sz w:val="21"/>
                <w:szCs w:val="21"/>
              </w:rPr>
              <w:t>-</w:t>
            </w:r>
            <w:r>
              <w:rPr>
                <w:rFonts w:hint="eastAsia" w:ascii="华文细黑" w:hAnsi="华文细黑"/>
                <w:sz w:val="21"/>
                <w:szCs w:val="21"/>
              </w:rPr>
              <w:t>45℃</w:t>
            </w:r>
            <w:r>
              <w:rPr>
                <w:rFonts w:ascii="华文细黑" w:hAnsi="华文细黑"/>
                <w:sz w:val="21"/>
                <w:szCs w:val="21"/>
              </w:rPr>
              <w:t>~+</w:t>
            </w:r>
            <w:r>
              <w:rPr>
                <w:rFonts w:hint="eastAsia" w:ascii="华文细黑" w:hAnsi="华文细黑"/>
                <w:sz w:val="21"/>
                <w:szCs w:val="21"/>
              </w:rPr>
              <w:t>80℃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66" w:type="dxa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hint="eastAsia" w:ascii="华文细黑" w:hAnsi="华文细黑"/>
                <w:sz w:val="21"/>
                <w:szCs w:val="21"/>
              </w:rPr>
            </w:pPr>
            <w:r>
              <w:rPr>
                <w:rFonts w:hint="eastAsia" w:ascii="华文细黑" w:hAnsi="华文细黑"/>
                <w:sz w:val="21"/>
                <w:szCs w:val="21"/>
              </w:rPr>
              <w:t>存储温度</w:t>
            </w:r>
          </w:p>
        </w:tc>
        <w:tc>
          <w:tcPr>
            <w:tcW w:w="6362" w:type="dxa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华文细黑" w:hAnsi="华文细黑"/>
                <w:sz w:val="21"/>
                <w:szCs w:val="21"/>
              </w:rPr>
            </w:pPr>
            <w:r>
              <w:rPr>
                <w:rFonts w:ascii="华文细黑" w:hAnsi="华文细黑"/>
                <w:sz w:val="21"/>
                <w:szCs w:val="21"/>
              </w:rPr>
              <w:t>-</w:t>
            </w:r>
            <w:r>
              <w:rPr>
                <w:rFonts w:hint="eastAsia" w:ascii="华文细黑" w:hAnsi="华文细黑"/>
                <w:sz w:val="21"/>
                <w:szCs w:val="21"/>
              </w:rPr>
              <w:t>45℃</w:t>
            </w:r>
            <w:r>
              <w:rPr>
                <w:rFonts w:ascii="华文细黑" w:hAnsi="华文细黑"/>
                <w:sz w:val="21"/>
                <w:szCs w:val="21"/>
              </w:rPr>
              <w:t>~+</w:t>
            </w:r>
            <w:r>
              <w:rPr>
                <w:rFonts w:hint="eastAsia" w:ascii="华文细黑" w:hAnsi="华文细黑"/>
                <w:sz w:val="21"/>
                <w:szCs w:val="21"/>
              </w:rPr>
              <w:t>8</w:t>
            </w:r>
            <w:r>
              <w:rPr>
                <w:rFonts w:ascii="华文细黑" w:hAnsi="华文细黑"/>
                <w:sz w:val="21"/>
                <w:szCs w:val="21"/>
              </w:rPr>
              <w:t>5</w:t>
            </w:r>
            <w:r>
              <w:rPr>
                <w:rFonts w:hint="eastAsia" w:ascii="华文细黑" w:hAnsi="华文细黑"/>
                <w:sz w:val="21"/>
                <w:szCs w:val="21"/>
              </w:rPr>
              <w:t>℃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66" w:type="dxa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华文细黑" w:hAnsi="华文细黑"/>
                <w:sz w:val="21"/>
                <w:szCs w:val="21"/>
              </w:rPr>
            </w:pPr>
            <w:r>
              <w:rPr>
                <w:rFonts w:hint="eastAsia" w:ascii="华文细黑" w:hAnsi="华文细黑"/>
                <w:sz w:val="21"/>
                <w:szCs w:val="21"/>
              </w:rPr>
              <w:t>相对工作湿度</w:t>
            </w:r>
          </w:p>
        </w:tc>
        <w:tc>
          <w:tcPr>
            <w:tcW w:w="6362" w:type="dxa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华文细黑" w:hAnsi="华文细黑"/>
                <w:sz w:val="21"/>
                <w:szCs w:val="21"/>
              </w:rPr>
            </w:pPr>
            <w:r>
              <w:rPr>
                <w:rFonts w:ascii="华文细黑" w:hAnsi="华文细黑"/>
                <w:sz w:val="21"/>
                <w:szCs w:val="21"/>
              </w:rPr>
              <w:t>4%~100%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66" w:type="dxa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华文细黑" w:hAnsi="华文细黑"/>
                <w:sz w:val="21"/>
                <w:szCs w:val="21"/>
              </w:rPr>
            </w:pPr>
            <w:r>
              <w:rPr>
                <w:rFonts w:hint="eastAsia" w:ascii="华文细黑" w:hAnsi="华文细黑"/>
                <w:sz w:val="21"/>
                <w:szCs w:val="21"/>
              </w:rPr>
              <w:t>抗电磁干扰</w:t>
            </w:r>
          </w:p>
        </w:tc>
        <w:tc>
          <w:tcPr>
            <w:tcW w:w="6362" w:type="dxa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华文细黑" w:hAnsi="华文细黑"/>
                <w:sz w:val="21"/>
                <w:szCs w:val="21"/>
              </w:rPr>
            </w:pPr>
            <w:r>
              <w:rPr>
                <w:rFonts w:hint="eastAsia" w:ascii="华文细黑" w:hAnsi="华文细黑"/>
                <w:sz w:val="21"/>
                <w:szCs w:val="21"/>
              </w:rPr>
              <w:t>静电</w:t>
            </w:r>
            <w:r>
              <w:rPr>
                <w:rFonts w:ascii="华文细黑" w:hAnsi="华文细黑"/>
                <w:sz w:val="21"/>
                <w:szCs w:val="21"/>
              </w:rPr>
              <w:t>8kV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66" w:type="dxa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华文细黑" w:hAnsi="华文细黑"/>
                <w:sz w:val="21"/>
                <w:szCs w:val="21"/>
              </w:rPr>
            </w:pPr>
            <w:r>
              <w:rPr>
                <w:rFonts w:hint="eastAsia" w:ascii="华文细黑" w:hAnsi="华文细黑"/>
                <w:sz w:val="21"/>
                <w:szCs w:val="21"/>
              </w:rPr>
              <w:t>振动</w:t>
            </w:r>
          </w:p>
        </w:tc>
        <w:tc>
          <w:tcPr>
            <w:tcW w:w="6362" w:type="dxa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华文细黑" w:hAnsi="华文细黑"/>
                <w:sz w:val="21"/>
                <w:szCs w:val="21"/>
              </w:rPr>
            </w:pPr>
            <w:r>
              <w:rPr>
                <w:rFonts w:hint="eastAsia" w:ascii="华文细黑" w:hAnsi="华文细黑"/>
                <w:sz w:val="21"/>
                <w:szCs w:val="21"/>
              </w:rPr>
              <w:t>符合</w:t>
            </w:r>
            <w:r>
              <w:rPr>
                <w:rFonts w:ascii="华文细黑" w:hAnsi="华文细黑"/>
                <w:sz w:val="21"/>
                <w:szCs w:val="21"/>
              </w:rPr>
              <w:t>GB/T 2423.1</w:t>
            </w:r>
            <w:r>
              <w:rPr>
                <w:rFonts w:hint="eastAsia" w:ascii="华文细黑" w:hAnsi="华文细黑"/>
                <w:sz w:val="21"/>
                <w:szCs w:val="21"/>
              </w:rPr>
              <w:t>3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66" w:type="dxa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华文细黑" w:hAnsi="华文细黑"/>
                <w:sz w:val="21"/>
                <w:szCs w:val="21"/>
              </w:rPr>
            </w:pPr>
            <w:r>
              <w:rPr>
                <w:rFonts w:hint="eastAsia" w:ascii="华文细黑" w:hAnsi="华文细黑"/>
                <w:sz w:val="21"/>
                <w:szCs w:val="21"/>
              </w:rPr>
              <w:t>冲击</w:t>
            </w:r>
          </w:p>
        </w:tc>
        <w:tc>
          <w:tcPr>
            <w:tcW w:w="6362" w:type="dxa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华文细黑" w:hAnsi="华文细黑"/>
                <w:sz w:val="21"/>
                <w:szCs w:val="21"/>
              </w:rPr>
            </w:pPr>
            <w:r>
              <w:rPr>
                <w:rFonts w:hint="eastAsia" w:ascii="华文细黑" w:hAnsi="华文细黑"/>
                <w:sz w:val="21"/>
                <w:szCs w:val="21"/>
              </w:rPr>
              <w:t>符合</w:t>
            </w:r>
            <w:r>
              <w:rPr>
                <w:rFonts w:ascii="华文细黑" w:hAnsi="华文细黑"/>
                <w:sz w:val="21"/>
                <w:szCs w:val="21"/>
              </w:rPr>
              <w:t>GB/T 2423.6</w:t>
            </w:r>
            <w:r>
              <w:rPr>
                <w:rFonts w:hint="eastAsia" w:ascii="华文细黑" w:hAnsi="华文细黑"/>
                <w:sz w:val="21"/>
                <w:szCs w:val="21"/>
              </w:rPr>
              <w:t>试验</w:t>
            </w:r>
            <w:r>
              <w:rPr>
                <w:rFonts w:ascii="华文细黑" w:hAnsi="华文细黑"/>
                <w:sz w:val="21"/>
                <w:szCs w:val="21"/>
              </w:rPr>
              <w:t>E</w:t>
            </w:r>
            <w:r>
              <w:rPr>
                <w:rFonts w:hint="eastAsia" w:ascii="华文细黑" w:hAnsi="华文细黑"/>
                <w:sz w:val="21"/>
                <w:szCs w:val="21"/>
              </w:rPr>
              <w:t>b和导则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66" w:type="dxa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华文细黑" w:hAnsi="华文细黑"/>
                <w:sz w:val="21"/>
                <w:szCs w:val="21"/>
              </w:rPr>
            </w:pPr>
            <w:r>
              <w:rPr>
                <w:rFonts w:hint="eastAsia" w:ascii="华文细黑" w:hAnsi="华文细黑"/>
                <w:sz w:val="21"/>
                <w:szCs w:val="21"/>
              </w:rPr>
              <w:t>盐雾</w:t>
            </w:r>
          </w:p>
        </w:tc>
        <w:tc>
          <w:tcPr>
            <w:tcW w:w="6362" w:type="dxa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华文细黑" w:hAnsi="华文细黑"/>
                <w:sz w:val="21"/>
                <w:szCs w:val="21"/>
              </w:rPr>
            </w:pPr>
            <w:r>
              <w:rPr>
                <w:rFonts w:hint="eastAsia" w:ascii="华文细黑" w:hAnsi="华文细黑"/>
                <w:sz w:val="21"/>
                <w:szCs w:val="21"/>
              </w:rPr>
              <w:t>符合</w:t>
            </w:r>
            <w:r>
              <w:rPr>
                <w:rFonts w:ascii="华文细黑" w:hAnsi="华文细黑"/>
                <w:sz w:val="21"/>
                <w:szCs w:val="21"/>
              </w:rPr>
              <w:t>GB/T 2423.18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566" w:type="dxa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华文细黑" w:hAnsi="华文细黑"/>
                <w:sz w:val="21"/>
                <w:szCs w:val="21"/>
              </w:rPr>
            </w:pPr>
            <w:r>
              <w:rPr>
                <w:rFonts w:hint="eastAsia" w:ascii="华文细黑" w:hAnsi="华文细黑"/>
                <w:sz w:val="21"/>
                <w:szCs w:val="21"/>
              </w:rPr>
              <w:t>雷击</w:t>
            </w:r>
          </w:p>
        </w:tc>
        <w:tc>
          <w:tcPr>
            <w:tcW w:w="6362" w:type="dxa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华文细黑" w:hAnsi="华文细黑"/>
                <w:sz w:val="21"/>
                <w:szCs w:val="21"/>
              </w:rPr>
            </w:pPr>
            <w:r>
              <w:rPr>
                <w:rFonts w:hint="eastAsia" w:ascii="华文细黑" w:hAnsi="华文细黑"/>
                <w:sz w:val="21"/>
                <w:szCs w:val="21"/>
              </w:rPr>
              <w:t>抗</w:t>
            </w:r>
            <w:r>
              <w:rPr>
                <w:rFonts w:ascii="华文细黑" w:hAnsi="华文细黑"/>
                <w:sz w:val="21"/>
                <w:szCs w:val="21"/>
              </w:rPr>
              <w:t>4kV 10/200</w:t>
            </w:r>
            <w:r>
              <w:rPr>
                <w:rFonts w:hint="eastAsia" w:ascii="华文细黑" w:hAnsi="华文细黑"/>
                <w:sz w:val="21"/>
                <w:szCs w:val="21"/>
              </w:rPr>
              <w:t>μ</w:t>
            </w:r>
            <w:r>
              <w:rPr>
                <w:rFonts w:ascii="华文细黑" w:hAnsi="华文细黑"/>
                <w:sz w:val="21"/>
                <w:szCs w:val="21"/>
              </w:rPr>
              <w:t>s</w:t>
            </w:r>
            <w:r>
              <w:rPr>
                <w:rFonts w:hint="eastAsia" w:ascii="华文细黑" w:hAnsi="华文细黑"/>
                <w:sz w:val="21"/>
                <w:szCs w:val="21"/>
              </w:rPr>
              <w:t>雷击</w:t>
            </w:r>
          </w:p>
        </w:tc>
      </w:tr>
      <w:bookmarkEnd w:id="3"/>
      <w:bookmarkEnd w:id="12"/>
      <w:bookmarkEnd w:id="13"/>
      <w:bookmarkEnd w:id="14"/>
      <w:bookmarkEnd w:id="15"/>
    </w:tbl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</w:p>
    <w:p>
      <w:pPr>
        <w:pStyle w:val="13"/>
        <w:rPr>
          <w:rFonts w:hint="default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7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linrc202312@126.com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41" w:name="_Toc332793818"/>
      <w:bookmarkStart w:id="42" w:name="_Toc332965960"/>
      <w:bookmarkStart w:id="43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41"/>
      <w:bookmarkEnd w:id="42"/>
      <w:bookmarkEnd w:id="43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林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000000D"/>
    <w:multiLevelType w:val="multilevel"/>
    <w:tmpl w:val="0000000D"/>
    <w:lvl w:ilvl="0" w:tentative="0">
      <w:start w:val="1"/>
      <w:numFmt w:val="decimal"/>
      <w:suff w:val="space"/>
      <w:lvlText w:val="%1、"/>
      <w:lvlJc w:val="left"/>
      <w:pPr>
        <w:ind w:left="432" w:hanging="432"/>
      </w:pPr>
      <w:rPr>
        <w:rFonts w:hint="eastAsia"/>
      </w:rPr>
    </w:lvl>
    <w:lvl w:ilvl="1" w:tentative="0">
      <w:start w:val="1"/>
      <w:numFmt w:val="decimal"/>
      <w:suff w:val="space"/>
      <w:lvlText w:val="%1.%2"/>
      <w:lvlJc w:val="left"/>
      <w:pPr>
        <w:ind w:left="576" w:hanging="576"/>
      </w:pPr>
      <w:rPr>
        <w:rFonts w:hint="eastAsia" w:eastAsia="华文细黑"/>
      </w:rPr>
    </w:lvl>
    <w:lvl w:ilvl="2" w:tentative="0">
      <w:start w:val="1"/>
      <w:numFmt w:val="decimal"/>
      <w:lvlText w:val="5.3.%3"/>
      <w:lvlJc w:val="left"/>
      <w:pPr>
        <w:ind w:left="720" w:hanging="720"/>
      </w:pPr>
      <w:rPr>
        <w:rFonts w:hint="eastAsia"/>
      </w:rPr>
    </w:lvl>
    <w:lvl w:ilvl="3" w:tentative="0">
      <w:start w:val="1"/>
      <w:numFmt w:val="decimal"/>
      <w:lvlText w:val="5.%4"/>
      <w:lvlJc w:val="left"/>
      <w:pPr>
        <w:ind w:left="1044" w:hanging="864"/>
      </w:pPr>
      <w:rPr>
        <w:rFonts w:hint="eastAsia" w:ascii="黑体" w:hAnsi="黑体" w:eastAsia="黑体"/>
        <w:b/>
      </w:r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3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4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5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6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46240C2B"/>
    <w:multiLevelType w:val="multilevel"/>
    <w:tmpl w:val="46240C2B"/>
    <w:lvl w:ilvl="0" w:tentative="0">
      <w:start w:val="1"/>
      <w:numFmt w:val="decimal"/>
      <w:lvlText w:val="%1"/>
      <w:lvlJc w:val="left"/>
      <w:pPr>
        <w:ind w:left="420" w:hanging="420"/>
      </w:pPr>
      <w:rPr>
        <w:rFonts w:hint="eastAsia" w:ascii="黑体" w:hAnsi="黑体" w:eastAsia="黑体"/>
        <w:b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69E52367"/>
    <w:multiLevelType w:val="singleLevel"/>
    <w:tmpl w:val="69E52367"/>
    <w:lvl w:ilvl="0" w:tentative="0">
      <w:start w:val="1"/>
      <w:numFmt w:val="decimal"/>
      <w:suff w:val="nothing"/>
      <w:lvlText w:val="（%1）"/>
      <w:lvlJc w:val="left"/>
    </w:lvl>
  </w:abstractNum>
  <w:abstractNum w:abstractNumId="5">
    <w:nsid w:val="6C5A0E54"/>
    <w:multiLevelType w:val="multilevel"/>
    <w:tmpl w:val="6C5A0E54"/>
    <w:lvl w:ilvl="0" w:tentative="0">
      <w:start w:val="1"/>
      <w:numFmt w:val="bullet"/>
      <w:lvlText w:val=""/>
      <w:lvlJc w:val="left"/>
      <w:pPr>
        <w:ind w:left="90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32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74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6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8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0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42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4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60" w:hanging="420"/>
      </w:pPr>
      <w:rPr>
        <w:rFonts w:hint="default" w:ascii="Wingdings" w:hAnsi="Wingdings"/>
      </w:rPr>
    </w:lvl>
  </w:abstractNum>
  <w:abstractNum w:abstractNumId="6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4"/>
  </w:num>
  <w:num w:numId="5">
    <w:abstractNumId w:val="3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ViNjU5Y2U5ZjNiYjk2ZmRiMmQ1NWZmYTE0ODUyMz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E72D8C"/>
    <w:rsid w:val="03393105"/>
    <w:rsid w:val="03BC73DD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0F925A1A"/>
    <w:rsid w:val="112A7044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712374"/>
    <w:rsid w:val="19B32EC3"/>
    <w:rsid w:val="1A071A40"/>
    <w:rsid w:val="1A786886"/>
    <w:rsid w:val="1CC7757C"/>
    <w:rsid w:val="1CFD009B"/>
    <w:rsid w:val="1D494680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BC2F88"/>
    <w:rsid w:val="2ECB5FE2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3D092B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6A1F6A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82D60"/>
    <w:rsid w:val="6E350FFC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7596FDD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260" w:after="260"/>
      <w:ind w:firstLine="0" w:firstLineChars="0"/>
      <w:outlineLvl w:val="0"/>
    </w:pPr>
    <w:rPr>
      <w:rFonts w:eastAsia="黑体"/>
      <w:b/>
      <w:bCs/>
      <w:kern w:val="44"/>
      <w:sz w:val="48"/>
      <w:szCs w:val="44"/>
    </w:rPr>
  </w:style>
  <w:style w:type="paragraph" w:styleId="3">
    <w:name w:val="heading 2"/>
    <w:basedOn w:val="1"/>
    <w:next w:val="4"/>
    <w:link w:val="18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4">
    <w:name w:val="heading 3"/>
    <w:basedOn w:val="1"/>
    <w:next w:val="1"/>
    <w:link w:val="19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5">
    <w:name w:val="heading 4"/>
    <w:basedOn w:val="1"/>
    <w:next w:val="1"/>
    <w:link w:val="20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6">
    <w:name w:val="heading 5"/>
    <w:basedOn w:val="1"/>
    <w:next w:val="1"/>
    <w:link w:val="21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Normal Indent"/>
    <w:basedOn w:val="1"/>
    <w:qFormat/>
    <w:uiPriority w:val="99"/>
    <w:pPr>
      <w:ind w:firstLine="420" w:firstLineChars="200"/>
    </w:pPr>
  </w:style>
  <w:style w:type="paragraph" w:styleId="8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40"/>
    <w:qFormat/>
    <w:uiPriority w:val="0"/>
    <w:rPr>
      <w:sz w:val="18"/>
      <w:szCs w:val="18"/>
    </w:rPr>
  </w:style>
  <w:style w:type="paragraph" w:styleId="11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First Indent 2"/>
    <w:basedOn w:val="8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6">
    <w:name w:val="页眉 Char"/>
    <w:basedOn w:val="15"/>
    <w:link w:val="12"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1"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3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4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5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6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6"/>
    <w:link w:val="24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0"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500</Words>
  <Characters>603</Characters>
  <Lines>61</Lines>
  <Paragraphs>17</Paragraphs>
  <TotalTime>5</TotalTime>
  <ScaleCrop>false</ScaleCrop>
  <LinksUpToDate>false</LinksUpToDate>
  <CharactersWithSpaces>672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WPS_1595381563</cp:lastModifiedBy>
  <cp:lastPrinted>2022-10-20T06:50:00Z</cp:lastPrinted>
  <dcterms:modified xsi:type="dcterms:W3CDTF">2023-12-12T03:51:02Z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54683F8412CF471EA334CD25362B5CC7_13</vt:lpwstr>
  </property>
</Properties>
</file>