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宋体" w:cs="Times New Roman"/>
          <w:b/>
          <w:color w:val="000000"/>
          <w:sz w:val="30"/>
          <w:szCs w:val="30"/>
        </w:rPr>
      </w:pPr>
      <w:r>
        <w:rPr>
          <w:rFonts w:hint="eastAsia" w:cs="Times New Roman"/>
          <w:b/>
          <w:color w:val="000000"/>
          <w:sz w:val="30"/>
          <w:szCs w:val="30"/>
          <w:lang w:val="en-US" w:eastAsia="zh-CN"/>
        </w:rPr>
        <w:t>北三环高速科教城收费站机电及交安设施建设工程显示板、控制器、小型情报板</w:t>
      </w:r>
      <w:r>
        <w:rPr>
          <w:rFonts w:hint="default" w:ascii="Times New Roman" w:hAnsi="Times New Roman" w:eastAsia="宋体" w:cs="Times New Roman"/>
          <w:b/>
          <w:color w:val="000000"/>
          <w:sz w:val="30"/>
          <w:szCs w:val="30"/>
        </w:rPr>
        <w:t>采购意向征集公告</w:t>
      </w:r>
    </w:p>
    <w:p>
      <w:pPr>
        <w:pStyle w:val="2"/>
        <w:rPr>
          <w:rFonts w:hint="default" w:ascii="Times New Roman" w:hAnsi="Times New Roman" w:eastAsia="宋体" w:cs="Times New Roman"/>
          <w:sz w:val="24"/>
          <w:szCs w:val="24"/>
        </w:rPr>
      </w:pP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项目概况</w:t>
      </w:r>
    </w:p>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1.1项目名称：北三环高速科教城收费站机电及交安设施建设工程</w:t>
      </w:r>
    </w:p>
    <w:p>
      <w:p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1.2项目地点：广州市</w:t>
      </w:r>
    </w:p>
    <w:p>
      <w:pPr>
        <w:numPr>
          <w:ilvl w:val="0"/>
          <w:numId w:val="3"/>
        </w:numPr>
        <w:topLinePunct/>
        <w:spacing w:line="360" w:lineRule="auto"/>
        <w:outlineLvl w:val="1"/>
        <w:rPr>
          <w:rFonts w:hint="default" w:ascii="Times New Roman" w:hAnsi="Times New Roman" w:eastAsia="宋体" w:cs="Times New Roman"/>
          <w:b/>
          <w:sz w:val="24"/>
          <w:szCs w:val="24"/>
        </w:rPr>
      </w:pPr>
      <w:r>
        <w:rPr>
          <w:rFonts w:hint="default" w:ascii="Times New Roman" w:hAnsi="Times New Roman" w:eastAsia="宋体" w:cs="Times New Roman"/>
          <w:b/>
          <w:snapToGrid w:val="0"/>
          <w:kern w:val="0"/>
          <w:sz w:val="24"/>
          <w:szCs w:val="24"/>
        </w:rPr>
        <w:t>具体工程量清单</w:t>
      </w:r>
    </w:p>
    <w:tbl>
      <w:tblPr>
        <w:tblStyle w:val="13"/>
        <w:tblW w:w="84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750"/>
        <w:gridCol w:w="2717"/>
        <w:gridCol w:w="816"/>
        <w:gridCol w:w="800"/>
        <w:gridCol w:w="14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978"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序号</w:t>
            </w:r>
          </w:p>
        </w:tc>
        <w:tc>
          <w:tcPr>
            <w:tcW w:w="175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材料名称</w:t>
            </w:r>
          </w:p>
        </w:tc>
        <w:tc>
          <w:tcPr>
            <w:tcW w:w="2717" w:type="dxa"/>
            <w:shd w:val="clear" w:color="auto" w:fill="auto"/>
            <w:vAlign w:val="center"/>
          </w:tcPr>
          <w:p>
            <w:pPr>
              <w:spacing w:line="360" w:lineRule="auto"/>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规格型号</w:t>
            </w:r>
          </w:p>
        </w:tc>
        <w:tc>
          <w:tcPr>
            <w:tcW w:w="816"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单位</w:t>
            </w:r>
          </w:p>
        </w:tc>
        <w:tc>
          <w:tcPr>
            <w:tcW w:w="800"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数量</w:t>
            </w:r>
          </w:p>
        </w:tc>
        <w:tc>
          <w:tcPr>
            <w:tcW w:w="1411" w:type="dxa"/>
            <w:shd w:val="clear" w:color="auto" w:fill="auto"/>
            <w:vAlign w:val="center"/>
          </w:tcPr>
          <w:p>
            <w:pPr>
              <w:spacing w:line="360" w:lineRule="auto"/>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8"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804-1-1</w:t>
            </w:r>
          </w:p>
        </w:tc>
        <w:tc>
          <w:tcPr>
            <w:tcW w:w="175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显示板</w:t>
            </w:r>
          </w:p>
        </w:tc>
        <w:tc>
          <w:tcPr>
            <w:tcW w:w="271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bookmarkStart w:id="3" w:name="_GoBack"/>
            <w:bookmarkEnd w:id="3"/>
          </w:p>
        </w:tc>
        <w:tc>
          <w:tcPr>
            <w:tcW w:w="816"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套</w:t>
            </w:r>
          </w:p>
        </w:tc>
        <w:tc>
          <w:tcPr>
            <w:tcW w:w="80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1</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8"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804-1-2</w:t>
            </w:r>
          </w:p>
        </w:tc>
        <w:tc>
          <w:tcPr>
            <w:tcW w:w="175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控制器</w:t>
            </w:r>
          </w:p>
        </w:tc>
        <w:tc>
          <w:tcPr>
            <w:tcW w:w="271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p>
        </w:tc>
        <w:tc>
          <w:tcPr>
            <w:tcW w:w="816"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套</w:t>
            </w:r>
          </w:p>
        </w:tc>
        <w:tc>
          <w:tcPr>
            <w:tcW w:w="80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rPr>
              <w:t>1</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8"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802-1-7</w:t>
            </w:r>
          </w:p>
        </w:tc>
        <w:tc>
          <w:tcPr>
            <w:tcW w:w="175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ETC车道小型情报板</w:t>
            </w:r>
          </w:p>
        </w:tc>
        <w:tc>
          <w:tcPr>
            <w:tcW w:w="271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p>
        </w:tc>
        <w:tc>
          <w:tcPr>
            <w:tcW w:w="816"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套</w:t>
            </w:r>
          </w:p>
        </w:tc>
        <w:tc>
          <w:tcPr>
            <w:tcW w:w="80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3</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8"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802-3-8</w:t>
            </w:r>
          </w:p>
        </w:tc>
        <w:tc>
          <w:tcPr>
            <w:tcW w:w="175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混合车道小型情报板</w:t>
            </w:r>
          </w:p>
        </w:tc>
        <w:tc>
          <w:tcPr>
            <w:tcW w:w="271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p>
        </w:tc>
        <w:tc>
          <w:tcPr>
            <w:tcW w:w="816"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套</w:t>
            </w:r>
          </w:p>
        </w:tc>
        <w:tc>
          <w:tcPr>
            <w:tcW w:w="80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4</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978"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804-1-8</w:t>
            </w:r>
          </w:p>
        </w:tc>
        <w:tc>
          <w:tcPr>
            <w:tcW w:w="175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物联网远程电源控制开关</w:t>
            </w:r>
          </w:p>
        </w:tc>
        <w:tc>
          <w:tcPr>
            <w:tcW w:w="2717"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sz w:val="21"/>
                <w:szCs w:val="21"/>
                <w:lang w:val="en-US" w:eastAsia="zh-CN"/>
              </w:rPr>
            </w:pPr>
          </w:p>
        </w:tc>
        <w:tc>
          <w:tcPr>
            <w:tcW w:w="816"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套</w:t>
            </w:r>
          </w:p>
        </w:tc>
        <w:tc>
          <w:tcPr>
            <w:tcW w:w="800" w:type="dxa"/>
            <w:shd w:val="clear" w:color="auto" w:fill="auto"/>
            <w:vAlign w:val="center"/>
          </w:tcPr>
          <w:p>
            <w:pPr>
              <w:keepNext w:val="0"/>
              <w:keepLines w:val="0"/>
              <w:pageBreakBefore w:val="0"/>
              <w:kinsoku/>
              <w:wordWrap/>
              <w:overflowPunct/>
              <w:topLinePunct w:val="0"/>
              <w:autoSpaceDE/>
              <w:autoSpaceDN/>
              <w:bidi w:val="0"/>
              <w:adjustRightInd/>
              <w:snapToGrid/>
              <w:spacing w:line="240" w:lineRule="auto"/>
              <w:jc w:val="center"/>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1</w:t>
            </w:r>
          </w:p>
        </w:tc>
        <w:tc>
          <w:tcPr>
            <w:tcW w:w="1411"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sz w:val="21"/>
                <w:szCs w:val="21"/>
                <w:lang w:val="en-US" w:eastAsia="zh-CN"/>
              </w:rPr>
            </w:pPr>
          </w:p>
        </w:tc>
      </w:tr>
    </w:tbl>
    <w:p>
      <w:pPr>
        <w:wordWrap w:val="0"/>
        <w:topLinePunct/>
        <w:spacing w:line="360" w:lineRule="auto"/>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清单说明：</w:t>
      </w:r>
    </w:p>
    <w:p>
      <w:pPr>
        <w:numPr>
          <w:ilvl w:val="0"/>
          <w:numId w:val="4"/>
        </w:numPr>
        <w:wordWrap w:val="0"/>
        <w:topLinePunct/>
        <w:spacing w:line="360" w:lineRule="auto"/>
        <w:ind w:firstLine="566" w:firstLineChars="236"/>
        <w:rPr>
          <w:rFonts w:hint="default" w:ascii="Times New Roman" w:hAnsi="Times New Roman" w:eastAsia="宋体" w:cs="Times New Roman"/>
          <w:sz w:val="24"/>
          <w:szCs w:val="24"/>
        </w:rPr>
      </w:pPr>
      <w:r>
        <w:rPr>
          <w:rFonts w:hint="default" w:ascii="Times New Roman" w:hAnsi="Times New Roman" w:eastAsia="宋体" w:cs="Times New Roman"/>
          <w:bCs/>
          <w:snapToGrid w:val="0"/>
          <w:kern w:val="0"/>
          <w:sz w:val="24"/>
          <w:szCs w:val="24"/>
        </w:rPr>
        <w:t>包括运输、保险费、税费、试运行及缺陷的维护等一切费用；</w:t>
      </w:r>
    </w:p>
    <w:p>
      <w:pPr>
        <w:pStyle w:val="8"/>
        <w:numPr>
          <w:ilvl w:val="0"/>
          <w:numId w:val="4"/>
        </w:numPr>
        <w:ind w:firstLine="566" w:firstLineChars="236"/>
        <w:rPr>
          <w:rFonts w:hint="default" w:ascii="Times New Roman" w:hAnsi="Times New Roman" w:eastAsia="宋体" w:cs="Times New Roman"/>
          <w:bCs/>
          <w:snapToGrid w:val="0"/>
          <w:kern w:val="0"/>
          <w:sz w:val="24"/>
          <w:szCs w:val="24"/>
        </w:rPr>
      </w:pPr>
      <w:r>
        <w:rPr>
          <w:rFonts w:hint="default" w:ascii="Times New Roman" w:hAnsi="Times New Roman" w:eastAsia="宋体" w:cs="Times New Roman"/>
          <w:bCs/>
          <w:snapToGrid w:val="0"/>
          <w:kern w:val="0"/>
          <w:sz w:val="24"/>
          <w:szCs w:val="24"/>
        </w:rPr>
        <w:t>最高限价：</w:t>
      </w:r>
      <w:r>
        <w:rPr>
          <w:rFonts w:hint="eastAsia" w:cs="Times New Roman"/>
          <w:bCs/>
          <w:snapToGrid w:val="0"/>
          <w:kern w:val="0"/>
          <w:sz w:val="24"/>
          <w:szCs w:val="24"/>
          <w:lang w:val="en-US" w:eastAsia="zh-CN"/>
        </w:rPr>
        <w:t>188500.00</w:t>
      </w:r>
      <w:r>
        <w:rPr>
          <w:rFonts w:hint="default" w:ascii="Times New Roman" w:hAnsi="Times New Roman" w:eastAsia="宋体" w:cs="Times New Roman"/>
          <w:bCs/>
          <w:snapToGrid w:val="0"/>
          <w:kern w:val="0"/>
          <w:sz w:val="24"/>
          <w:szCs w:val="24"/>
        </w:rPr>
        <w:t>元。</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eastAsia" w:cs="Times New Roman"/>
          <w:b/>
          <w:snapToGrid w:val="0"/>
          <w:kern w:val="0"/>
          <w:sz w:val="24"/>
          <w:szCs w:val="24"/>
          <w:lang w:val="en-US" w:eastAsia="zh-CN"/>
        </w:rPr>
        <w:t>技术参数</w:t>
      </w:r>
    </w:p>
    <w:p>
      <w:pPr>
        <w:numPr>
          <w:ilvl w:val="0"/>
          <w:numId w:val="0"/>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804-1-1 显示板</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（1）功能要求</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门架式节能型情报板，至少显示 10 个汉字、数字、字符及简单图形，支持GB18030 字符集，字符、图案的结构尺寸及字符形状符合 GB5768 要求，另具宋体、楷体、黑体、仿宋、隶书等五种以上字体，其字体、粗细、汉字间隔、高宽比均可调；</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功能基于一种格式类似于节目单的播放表格式，来实现全屏编辑功能。在此播放表中设定显示内容的条数、每条显示字符串的内容、出字方式、出字速度、停留时间、显示的座标位置、字体、大小、字间距、颜色、闪烁时间等，以及是否要在某些位置上显示某些图标；</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固定显示信息（文字、图形或字符等）存储在设备本地，可通过命令代码形式调出显示，或通过设置轮换显示，显示停留时间、间隔可调；</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控制器中可储存 60 条以上的固定信息，随机信息存放数目没有特殊限制。轮流播放显示的节目单内容可达 500 条。可按设置在控制器中的时间表进行各种内容显示；</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上级工作站通过发送通信命令，可指定设备应显示的具体内容。设备接收上级工作站发来的显示数据，校验其有效性和正确性，再向上级工作站回送确认正确与否信号。对接收的显示数据解码并触发相应的显示驱动模块，并向上级发送显示屏实际显示内容的确认信息和工作状态信息；</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下载文件至设备的闪存中，用于系统升级、增加字库、更改或增加预置的显示内容、更改或增加图标、更改设备的当前显示内容；</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图象显示无超出显示命令要求的异常拖尾、闪烁及滚动现象；</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无显示内容或电源故障时，显示屏自动关闭，呈黑屏状态，无任何亮点，电源恢复后，设备自动接受上级工作站的命令，转入正常工作，无需人工复位；</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检测设备的当前运行状态，并返回故障信息。包括：驱动单元故障、LED 组件（象素管）故障、电网电源故障、通信故障、显示单元电源故障、控制器电源故障、温度过高、温度过低等。这些检测不能影响信息的正常显示，可实现单点在线自检；</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当本地控制器检测到与上级工作站通信中断 15 分钟后，主动调用本地预存的信息代替原有信息进行显示；</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通过光敏传感器件，发光亮度可根据外界环境条件自动调光，控制显示屏白天和夜晚的不同亮度。若光敏传感器发生故障，上位机可发送通信命令，将其亮度设置方式从自动改为手动，并指定亮度值；</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通过系统运行日志文件，提供故障信息。详细记录了各种故障发生的时间以及故障的具体信息；</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情报板具备防篡改功能，满足广东省交通集团可变情报板发布系统加固防篡改终端设备对接的相关功能。</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主要技术指标</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门架式节能型情报板，至少显示 10 个汉字、数字、字符及简单图形；</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显示屏由 9 块可拆卸 LED 显示模块组成，均为双基色模块，按 1 行 10 列排列，整屏尺寸：10.0×1.0m；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各 LED 显示模块主要技术指标如下：</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模块点阵：50×50dpi；</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显示尺寸：1.0×1.1m；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点间距：20mm；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LED 半强度角≥15；</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显示屏发光像素由 2 红、1 纯绿两基色发光二极管（LED）组成，可显示红、绿、黄三种颜色；</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红色单管波长范围：620nm～630nm；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纯绿单管波长范围：520nm～530nm；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象素管封装采用防水、防尘、防腐蚀的野外型组件结构，防护等级≥IP65；</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驱动模式：静态恒流，具有过流保护功能；</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显示屏发光亮度要求至少 64 级亮度可调，全屏点亮且达到 10000cd/m2发光强度时功耗≤150W/m2；</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显示屏整屏亮度均匀度≥95%；</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整屏视认角≥30°；</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标志内容昼夜清楚可见。观察者（正常人，矫正视力 1.0 以上）在环境照度</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大于 50000lx 的晴天、太阳光正射标志面的条件下或黄昏，在规定的视角内能正确认读标志内容的最大距离（静态视认距离）≥250m；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正常情况下，车辆以 120km/h 速度行驶时，观察者（正常人，矫正视力 1.0以上）在环境照度大于 50000lx 的晴天、太阳光正射标志面的条件下，包括雪天、雨天、夜间，在规定的视角内能正确认读标志内容的最大距离（动态视认距离）≥210m；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显示模块内各像素点间距允许误差≤1mm，不平整度≤2mm/m2；</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承受 54m/s 风速产生风压的几何变形量≤2mm；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像素的年失控率≤1‰，离散型；</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平均故障间隔（MTBF）：产品整体≥3 万小时；</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防护等级：IP65。</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
          <w:snapToGrid w:val="0"/>
          <w:spacing w:val="0"/>
          <w:kern w:val="0"/>
          <w:sz w:val="24"/>
          <w:szCs w:val="24"/>
          <w:lang w:val="en-US" w:eastAsia="zh-CN" w:bidi="ar-SA"/>
        </w:rPr>
        <w:t>804-1-2 控制器</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基于工业级 CPU 母板，全面故障自我诊断及报警提示功能；</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至少 64M 内存，256M 闪存；</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免维护高可靠风扇，确保机箱内产生正气压防止灰尘堆积；</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至少 1 个 10/100 自适应以太网接口、RJ-45 端口；</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配备至少 1 个配置端口；</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控制器外壳表面烤漆或喷塑，保证 10 年内不脱落；</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正面和背面开门，便于安装和内部维修；</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门框和进线孔加密封橡胶垫圈，不设通风孔，保证机箱防水、防尘；</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平均故障间隔（MTBF）≥3 万小时。</w:t>
      </w:r>
    </w:p>
    <w:p>
      <w:pPr>
        <w:pStyle w:val="2"/>
        <w:ind w:left="0" w:leftChars="0"/>
        <w:rPr>
          <w:rFonts w:hint="default" w:ascii="Times New Roman" w:hAnsi="Times New Roman" w:eastAsia="宋体" w:cs="Times New Roman"/>
          <w:b/>
          <w:snapToGrid w:val="0"/>
          <w:spacing w:val="0"/>
          <w:kern w:val="0"/>
          <w:sz w:val="24"/>
          <w:szCs w:val="24"/>
          <w:lang w:val="en-US" w:eastAsia="zh-CN" w:bidi="ar-SA"/>
        </w:rPr>
      </w:pPr>
      <w:r>
        <w:rPr>
          <w:rFonts w:hint="default" w:ascii="Times New Roman" w:hAnsi="Times New Roman" w:eastAsia="宋体" w:cs="Times New Roman"/>
          <w:b/>
          <w:snapToGrid w:val="0"/>
          <w:spacing w:val="0"/>
          <w:kern w:val="0"/>
          <w:sz w:val="24"/>
          <w:szCs w:val="24"/>
          <w:lang w:val="en-US" w:eastAsia="zh-CN" w:bidi="ar-SA"/>
        </w:rPr>
        <w:t>802-3-8 混合车道小型情报板</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参照“802-1-7 ETC 车道小型情报板（含反向雨棚信号灯）”。</w:t>
      </w:r>
    </w:p>
    <w:p>
      <w:pPr>
        <w:pStyle w:val="2"/>
        <w:ind w:left="0" w:leftChars="0"/>
        <w:rPr>
          <w:rFonts w:hint="default" w:ascii="Times New Roman" w:hAnsi="Times New Roman" w:eastAsia="宋体" w:cs="Times New Roman"/>
          <w:b/>
          <w:snapToGrid w:val="0"/>
          <w:spacing w:val="0"/>
          <w:kern w:val="0"/>
          <w:sz w:val="24"/>
          <w:szCs w:val="24"/>
          <w:lang w:val="en-US" w:eastAsia="zh-CN" w:bidi="ar-SA"/>
        </w:rPr>
      </w:pPr>
      <w:r>
        <w:rPr>
          <w:rFonts w:hint="default" w:ascii="Times New Roman" w:hAnsi="Times New Roman" w:eastAsia="宋体" w:cs="Times New Roman"/>
          <w:b/>
          <w:snapToGrid w:val="0"/>
          <w:spacing w:val="0"/>
          <w:kern w:val="0"/>
          <w:sz w:val="24"/>
          <w:szCs w:val="24"/>
          <w:lang w:val="en-US" w:eastAsia="zh-CN" w:bidi="ar-SA"/>
        </w:rPr>
        <w:t>802-1-7 ETC 车道小型情报板（含反向雨棚信号灯）</w:t>
      </w:r>
    </w:p>
    <w:p>
      <w:pPr>
        <w:pStyle w:val="2"/>
        <w:ind w:left="0" w:leftChars="0"/>
        <w:rPr>
          <w:rFonts w:hint="default" w:ascii="Times New Roman" w:hAnsi="Times New Roman" w:eastAsia="宋体" w:cs="Times New Roman"/>
          <w:b/>
          <w:snapToGrid w:val="0"/>
          <w:spacing w:val="0"/>
          <w:kern w:val="0"/>
          <w:sz w:val="24"/>
          <w:szCs w:val="24"/>
          <w:lang w:val="en-US" w:eastAsia="zh-CN" w:bidi="ar-SA"/>
        </w:rPr>
      </w:pPr>
      <w:r>
        <w:rPr>
          <w:rFonts w:hint="default" w:ascii="Times New Roman" w:hAnsi="Times New Roman" w:eastAsia="宋体" w:cs="Times New Roman"/>
          <w:b/>
          <w:snapToGrid w:val="0"/>
          <w:spacing w:val="0"/>
          <w:kern w:val="0"/>
          <w:sz w:val="24"/>
          <w:szCs w:val="24"/>
          <w:lang w:val="en-US" w:eastAsia="zh-CN" w:bidi="ar-SA"/>
        </w:rPr>
        <w:t>（1） ETC 车道小型情报板</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1.功能要求</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LED 雨棚情报板安装在收费车道天棚上方迎车流方向，采用红绿双基色双模块方式。可通过如那件自定义显示内容，可现实简体中文汉字、英文字母、阿拉伯数字、符号等。</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提供联动功能接口，实现与其他软件的信息联动，自动修改显示内容。</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LED 雨棚情报板应是超亮度纯红 LED 和超亮度纯绿 LED 组成的模块，其信号应保证眼睛视力 0.8 以上的司机在 200 米以外能清晰地分辨，且不受外界光线变化的影响，应有适合的外罩以避免阳光直射信号灯的表面显示板。</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2.主要技术指标</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可兼容传统雨棚信号灯控制信号显示红色交叉和绿色箭头，还可以以文字、</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图片和动画的形式显示车道信息。可通过车道、站级计算机或移动 APP 控制软件远程实时更新信息，还可通过车道开关控制，方便实施车辆分流，交通信息播报。</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应符合 GB/T 27879 的要求；</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可显示 2 行 8 列汉字，内置 GB 2312 一级汉字字库；</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显示颜色：红、绿双基色；LED 红管选用“HP 管”，LED 绿管选用“日亚管”；</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LED 光源波长：红色 625±5nm，绿色 520±5nm；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LED 亮度：红色 4000mcd～9300mcd，绿色 3000mcd～4000mcd；</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每平米亮度≥5000cd；具有手动/自动 32 级以上调光的功能；</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双支架安装，安装角度：6°且可调，可视角度：±25°；</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静态视距≥200m，动态视矩≥180m；</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通信方式：开关控制，RS-232/RS-485/无线；</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控制方式：开关量（与车道控制器连接），文字方式通过控制软件发布；</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包含控制软件，PC 工作站控制以及 APP 控制；</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重量：≤60KG；</w:t>
      </w:r>
    </w:p>
    <w:p>
      <w:pPr>
        <w:pStyle w:val="2"/>
        <w:ind w:left="0" w:leftChars="0"/>
        <w:rPr>
          <w:rFonts w:hint="default" w:ascii="Times New Roman" w:hAnsi="Times New Roman" w:eastAsia="宋体" w:cs="Times New Roman"/>
          <w:b/>
          <w:snapToGrid w:val="0"/>
          <w:spacing w:val="0"/>
          <w:kern w:val="0"/>
          <w:sz w:val="24"/>
          <w:szCs w:val="24"/>
          <w:lang w:val="en-US" w:eastAsia="zh-CN" w:bidi="ar-SA"/>
        </w:rPr>
      </w:pPr>
      <w:r>
        <w:rPr>
          <w:rFonts w:hint="default" w:ascii="Times New Roman" w:hAnsi="Times New Roman" w:eastAsia="宋体" w:cs="Times New Roman"/>
          <w:b/>
          <w:snapToGrid w:val="0"/>
          <w:spacing w:val="0"/>
          <w:kern w:val="0"/>
          <w:sz w:val="24"/>
          <w:szCs w:val="24"/>
          <w:lang w:val="en-US" w:eastAsia="zh-CN" w:bidi="ar-SA"/>
        </w:rPr>
        <w:t>804-1-8 物联网远程电源控制开关</w:t>
      </w:r>
    </w:p>
    <w:p>
      <w:pPr>
        <w:pStyle w:val="2"/>
        <w:ind w:left="0" w:leftChars="0"/>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eastAsia="宋体" w:cs="Times New Roman"/>
          <w:bCs/>
          <w:snapToGrid w:val="0"/>
          <w:spacing w:val="0"/>
          <w:kern w:val="0"/>
          <w:sz w:val="24"/>
          <w:szCs w:val="24"/>
          <w:lang w:val="en-US" w:eastAsia="zh-CN" w:bidi="ar-SA"/>
        </w:rPr>
        <w:t>- 情报板远程控制断电模块；满足项目使用需求。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供应商资格条件</w:t>
      </w:r>
    </w:p>
    <w:p>
      <w:pPr>
        <w:pStyle w:val="8"/>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信用信誉良好，所供设备符合本工程量清单设备技术要求。</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r>
        <w:rPr>
          <w:rFonts w:hint="default" w:ascii="Times New Roman" w:hAnsi="Times New Roman" w:eastAsia="宋体" w:cs="Times New Roman"/>
          <w:b/>
          <w:snapToGrid w:val="0"/>
          <w:kern w:val="0"/>
          <w:sz w:val="24"/>
          <w:szCs w:val="24"/>
        </w:rPr>
        <w:t>响应回执的递交</w:t>
      </w:r>
    </w:p>
    <w:p>
      <w:pPr>
        <w:spacing w:line="360" w:lineRule="auto"/>
        <w:ind w:firstLine="480" w:firstLineChars="200"/>
        <w:rPr>
          <w:rFonts w:hint="default" w:ascii="Times New Roman" w:hAnsi="Times New Roman" w:eastAsia="宋体" w:cs="Times New Roman"/>
          <w:snapToGrid w:val="0"/>
          <w:color w:val="000000"/>
          <w:kern w:val="0"/>
          <w:sz w:val="24"/>
          <w:szCs w:val="24"/>
        </w:rPr>
      </w:pPr>
      <w:r>
        <w:rPr>
          <w:rFonts w:hint="default" w:ascii="Times New Roman" w:hAnsi="Times New Roman" w:eastAsia="宋体" w:cs="Times New Roman"/>
          <w:sz w:val="24"/>
          <w:szCs w:val="24"/>
        </w:rPr>
        <w:t>凡有意参加本次采购且具备履行本项目能力的供应商，请</w:t>
      </w:r>
      <w:r>
        <w:rPr>
          <w:rFonts w:hint="default" w:ascii="Times New Roman" w:hAnsi="Times New Roman" w:eastAsia="宋体" w:cs="Times New Roman"/>
          <w:color w:val="000000"/>
          <w:sz w:val="24"/>
          <w:szCs w:val="24"/>
        </w:rPr>
        <w:t>将附于本公告后的响应回执在</w:t>
      </w:r>
      <w:r>
        <w:rPr>
          <w:rFonts w:hint="default" w:ascii="Times New Roman" w:hAnsi="Times New Roman" w:eastAsia="宋体" w:cs="Times New Roman"/>
          <w:color w:val="000000"/>
          <w:sz w:val="24"/>
          <w:szCs w:val="24"/>
          <w:u w:val="single"/>
        </w:rPr>
        <w:t>2023年</w:t>
      </w:r>
      <w:r>
        <w:rPr>
          <w:rFonts w:hint="eastAsia" w:cs="Times New Roman"/>
          <w:color w:val="000000"/>
          <w:sz w:val="24"/>
          <w:szCs w:val="24"/>
          <w:u w:val="single"/>
          <w:lang w:val="en-US" w:eastAsia="zh-CN"/>
        </w:rPr>
        <w:t>12</w:t>
      </w:r>
      <w:r>
        <w:rPr>
          <w:rFonts w:hint="default" w:ascii="Times New Roman" w:hAnsi="Times New Roman" w:eastAsia="宋体" w:cs="Times New Roman"/>
          <w:color w:val="000000"/>
          <w:sz w:val="24"/>
          <w:szCs w:val="24"/>
          <w:u w:val="single"/>
        </w:rPr>
        <w:t>月</w:t>
      </w:r>
      <w:r>
        <w:rPr>
          <w:rFonts w:hint="eastAsia" w:cs="Times New Roman"/>
          <w:color w:val="000000"/>
          <w:sz w:val="24"/>
          <w:szCs w:val="24"/>
          <w:u w:val="single"/>
          <w:lang w:val="en-US" w:eastAsia="zh-CN"/>
        </w:rPr>
        <w:t>10</w:t>
      </w:r>
      <w:r>
        <w:rPr>
          <w:rFonts w:hint="default" w:ascii="Times New Roman" w:hAnsi="Times New Roman" w:eastAsia="宋体" w:cs="Times New Roman"/>
          <w:color w:val="000000"/>
          <w:sz w:val="24"/>
          <w:szCs w:val="24"/>
          <w:u w:val="single"/>
        </w:rPr>
        <w:t>日</w:t>
      </w:r>
      <w:r>
        <w:rPr>
          <w:rFonts w:hint="eastAsia" w:cs="Times New Roman"/>
          <w:color w:val="000000"/>
          <w:sz w:val="24"/>
          <w:szCs w:val="24"/>
          <w:u w:val="single"/>
          <w:lang w:val="en-US" w:eastAsia="zh-CN"/>
        </w:rPr>
        <w:t>16</w:t>
      </w:r>
      <w:r>
        <w:rPr>
          <w:rFonts w:hint="default" w:ascii="Times New Roman" w:hAnsi="Times New Roman" w:eastAsia="宋体" w:cs="Times New Roman"/>
          <w:color w:val="000000"/>
          <w:sz w:val="24"/>
          <w:szCs w:val="24"/>
          <w:u w:val="single"/>
        </w:rPr>
        <w:t>：00</w:t>
      </w:r>
      <w:r>
        <w:rPr>
          <w:rFonts w:hint="default" w:ascii="Times New Roman" w:hAnsi="Times New Roman" w:eastAsia="宋体" w:cs="Times New Roman"/>
          <w:color w:val="000000"/>
          <w:sz w:val="24"/>
          <w:szCs w:val="24"/>
        </w:rPr>
        <w:t>之前发送至采购人邮箱：</w:t>
      </w:r>
      <w:r>
        <w:rPr>
          <w:rFonts w:hint="eastAsia" w:cs="Times New Roman"/>
          <w:color w:val="000000"/>
          <w:sz w:val="24"/>
          <w:szCs w:val="24"/>
          <w:lang w:val="en-US" w:eastAsia="zh-CN"/>
        </w:rPr>
        <w:t>1263635487</w:t>
      </w:r>
      <w:r>
        <w:rPr>
          <w:rFonts w:hint="default" w:ascii="Times New Roman" w:hAnsi="Times New Roman" w:eastAsia="宋体" w:cs="Times New Roman"/>
          <w:snapToGrid w:val="0"/>
          <w:color w:val="000000"/>
          <w:kern w:val="0"/>
          <w:sz w:val="24"/>
          <w:szCs w:val="24"/>
        </w:rPr>
        <w:t>@</w:t>
      </w:r>
      <w:r>
        <w:rPr>
          <w:rFonts w:hint="eastAsia" w:cs="Times New Roman"/>
          <w:snapToGrid w:val="0"/>
          <w:color w:val="000000"/>
          <w:kern w:val="0"/>
          <w:sz w:val="24"/>
          <w:szCs w:val="24"/>
          <w:lang w:val="en-US" w:eastAsia="zh-CN"/>
        </w:rPr>
        <w:t>qq</w:t>
      </w:r>
      <w:r>
        <w:rPr>
          <w:rFonts w:hint="default" w:ascii="Times New Roman" w:hAnsi="Times New Roman" w:eastAsia="宋体" w:cs="Times New Roman"/>
          <w:snapToGrid w:val="0"/>
          <w:color w:val="000000"/>
          <w:kern w:val="0"/>
          <w:sz w:val="24"/>
          <w:szCs w:val="24"/>
        </w:rPr>
        <w:t>.com，逾期无效</w:t>
      </w:r>
      <w:r>
        <w:rPr>
          <w:rFonts w:hint="eastAsia" w:cs="Times New Roman"/>
          <w:snapToGrid w:val="0"/>
          <w:color w:val="000000"/>
          <w:kern w:val="0"/>
          <w:sz w:val="24"/>
          <w:szCs w:val="24"/>
          <w:lang w:eastAsia="zh-CN"/>
        </w:rPr>
        <w:t>，</w:t>
      </w:r>
      <w:r>
        <w:rPr>
          <w:rFonts w:hint="eastAsia"/>
          <w:snapToGrid w:val="0"/>
          <w:color w:val="000000"/>
          <w:kern w:val="0"/>
          <w:sz w:val="24"/>
          <w:lang w:val="en-US" w:eastAsia="zh-CN"/>
        </w:rPr>
        <w:t>回执命名“</w:t>
      </w:r>
      <w:r>
        <w:rPr>
          <w:rFonts w:hint="eastAsia"/>
          <w:snapToGrid w:val="0"/>
          <w:color w:val="FF0000"/>
          <w:kern w:val="0"/>
          <w:sz w:val="24"/>
          <w:lang w:val="en-US" w:eastAsia="zh-CN"/>
        </w:rPr>
        <w:t>XX</w:t>
      </w:r>
      <w:r>
        <w:rPr>
          <w:rFonts w:hint="eastAsia" w:eastAsia="宋体"/>
          <w:snapToGrid w:val="0"/>
          <w:color w:val="FF0000"/>
          <w:kern w:val="0"/>
          <w:sz w:val="24"/>
          <w:lang w:val="en-US" w:eastAsia="zh-CN"/>
        </w:rPr>
        <w:t>项目</w:t>
      </w:r>
      <w:r>
        <w:rPr>
          <w:rFonts w:hint="eastAsia"/>
          <w:snapToGrid w:val="0"/>
          <w:color w:val="FF0000"/>
          <w:kern w:val="0"/>
          <w:sz w:val="24"/>
          <w:lang w:val="en-US" w:eastAsia="zh-CN"/>
        </w:rPr>
        <w:t>xx采购xx供应商响应回执</w:t>
      </w:r>
      <w:r>
        <w:rPr>
          <w:rFonts w:hint="eastAsia"/>
          <w:snapToGrid w:val="0"/>
          <w:color w:val="000000"/>
          <w:kern w:val="0"/>
          <w:sz w:val="24"/>
          <w:lang w:val="en-US" w:eastAsia="zh-CN"/>
        </w:rPr>
        <w:t>”</w:t>
      </w:r>
      <w:r>
        <w:rPr>
          <w:rFonts w:hint="default" w:ascii="Times New Roman" w:hAnsi="Times New Roman" w:eastAsia="宋体" w:cs="Times New Roman"/>
          <w:snapToGrid w:val="0"/>
          <w:color w:val="000000"/>
          <w:kern w:val="0"/>
          <w:sz w:val="24"/>
          <w:szCs w:val="24"/>
        </w:rPr>
        <w:t>。采购人在收到响应回执后根据供应商信用信誉等情况进行讨论提议，不再另行发布采购公告。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eastAsia="宋体" w:cs="Times New Roman"/>
          <w:b/>
          <w:snapToGrid w:val="0"/>
          <w:kern w:val="0"/>
          <w:sz w:val="24"/>
          <w:szCs w:val="24"/>
        </w:rPr>
      </w:pPr>
      <w:bookmarkStart w:id="0" w:name="_Toc332793891"/>
      <w:bookmarkStart w:id="1" w:name="_Toc332965960"/>
      <w:bookmarkStart w:id="2" w:name="_Toc332793818"/>
      <w:r>
        <w:rPr>
          <w:rFonts w:hint="default" w:ascii="Times New Roman" w:hAnsi="Times New Roman" w:eastAsia="宋体" w:cs="Times New Roman"/>
          <w:b/>
          <w:snapToGrid w:val="0"/>
          <w:kern w:val="0"/>
          <w:sz w:val="24"/>
          <w:szCs w:val="24"/>
        </w:rPr>
        <w:t>联系方式</w:t>
      </w:r>
      <w:bookmarkEnd w:id="0"/>
      <w:bookmarkEnd w:id="1"/>
      <w:bookmarkEnd w:id="2"/>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采购人：广东诚泰交通科技发展有限公司</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采购人地址：广州市番禺区洛浦街道北环路87号道路研究院</w:t>
      </w:r>
      <w:r>
        <w:rPr>
          <w:rFonts w:hint="default" w:ascii="Times New Roman" w:hAnsi="Times New Roman" w:eastAsia="宋体" w:cs="Times New Roman"/>
          <w:color w:val="000000"/>
          <w:sz w:val="24"/>
          <w:szCs w:val="24"/>
          <w:lang w:val="en-US" w:eastAsia="zh-CN"/>
        </w:rPr>
        <w:t>有限公司</w:t>
      </w:r>
      <w:r>
        <w:rPr>
          <w:rFonts w:hint="default" w:ascii="Times New Roman" w:hAnsi="Times New Roman" w:eastAsia="宋体" w:cs="Times New Roman"/>
          <w:color w:val="000000"/>
          <w:sz w:val="24"/>
          <w:szCs w:val="24"/>
        </w:rPr>
        <w:t>二号楼</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联  系  人：</w:t>
      </w:r>
      <w:r>
        <w:rPr>
          <w:rFonts w:hint="eastAsia" w:cs="Times New Roman"/>
          <w:color w:val="000000"/>
          <w:sz w:val="24"/>
          <w:szCs w:val="24"/>
          <w:lang w:val="en-US" w:eastAsia="zh-CN"/>
        </w:rPr>
        <w:t>梁</w:t>
      </w:r>
      <w:r>
        <w:rPr>
          <w:rFonts w:hint="default" w:ascii="Times New Roman" w:hAnsi="Times New Roman" w:eastAsia="宋体" w:cs="Times New Roman"/>
          <w:color w:val="000000"/>
          <w:sz w:val="24"/>
          <w:szCs w:val="24"/>
        </w:rPr>
        <w:t>工</w:t>
      </w:r>
    </w:p>
    <w:p>
      <w:pPr>
        <w:topLinePunct/>
        <w:spacing w:line="360" w:lineRule="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电      话：020-39185740</w:t>
      </w:r>
    </w:p>
    <w:p>
      <w:pPr>
        <w:topLinePunct/>
        <w:spacing w:line="360" w:lineRule="auto"/>
        <w:jc w:val="right"/>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rPr>
        <w:t>广东诚泰交通科技发展有限公司</w:t>
      </w:r>
    </w:p>
    <w:p>
      <w:pPr>
        <w:topLinePunct/>
        <w:spacing w:line="360" w:lineRule="auto"/>
        <w:jc w:val="center"/>
        <w:rPr>
          <w:rFonts w:hint="default" w:ascii="Times New Roman" w:hAnsi="Times New Roman" w:eastAsia="宋体" w:cs="Times New Roman"/>
          <w:sz w:val="24"/>
          <w:szCs w:val="24"/>
        </w:rPr>
      </w:pPr>
      <w:r>
        <w:rPr>
          <w:rFonts w:hint="default" w:ascii="Times New Roman" w:hAnsi="Times New Roman" w:eastAsia="宋体" w:cs="Times New Roman"/>
          <w:color w:val="000000"/>
          <w:sz w:val="24"/>
          <w:szCs w:val="24"/>
        </w:rPr>
        <w:t xml:space="preserve">                                              2023年</w:t>
      </w:r>
      <w:r>
        <w:rPr>
          <w:rFonts w:hint="eastAsia" w:cs="Times New Roman"/>
          <w:color w:val="000000"/>
          <w:sz w:val="24"/>
          <w:szCs w:val="24"/>
          <w:lang w:val="en-US" w:eastAsia="zh-CN"/>
        </w:rPr>
        <w:t>12</w:t>
      </w:r>
      <w:r>
        <w:rPr>
          <w:rFonts w:hint="default" w:ascii="Times New Roman" w:hAnsi="Times New Roman" w:eastAsia="宋体" w:cs="Times New Roman"/>
          <w:color w:val="000000"/>
          <w:sz w:val="24"/>
          <w:szCs w:val="24"/>
        </w:rPr>
        <w:t>月</w:t>
      </w:r>
      <w:r>
        <w:rPr>
          <w:rFonts w:hint="eastAsia" w:cs="Times New Roman"/>
          <w:color w:val="000000"/>
          <w:sz w:val="24"/>
          <w:szCs w:val="24"/>
          <w:lang w:val="en-US" w:eastAsia="zh-CN"/>
        </w:rPr>
        <w:t>07</w:t>
      </w:r>
      <w:r>
        <w:rPr>
          <w:rFonts w:hint="default" w:ascii="Times New Roman" w:hAnsi="Times New Roman" w:eastAsia="宋体" w:cs="Times New Roman"/>
          <w:color w:val="000000"/>
          <w:sz w:val="24"/>
          <w:szCs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172A27"/>
    <w:rsid w:val="00123FE3"/>
    <w:rsid w:val="001301C5"/>
    <w:rsid w:val="00172A27"/>
    <w:rsid w:val="00477707"/>
    <w:rsid w:val="005603E4"/>
    <w:rsid w:val="00791D96"/>
    <w:rsid w:val="009A3C9A"/>
    <w:rsid w:val="00C424AD"/>
    <w:rsid w:val="00CC1A2E"/>
    <w:rsid w:val="00ED32E4"/>
    <w:rsid w:val="00EE2011"/>
    <w:rsid w:val="00FA736A"/>
    <w:rsid w:val="00FC4153"/>
    <w:rsid w:val="00FD7ED5"/>
    <w:rsid w:val="012D66CB"/>
    <w:rsid w:val="014D3BDD"/>
    <w:rsid w:val="02040FDF"/>
    <w:rsid w:val="02083795"/>
    <w:rsid w:val="02BE3126"/>
    <w:rsid w:val="02CF2D69"/>
    <w:rsid w:val="02E72D8C"/>
    <w:rsid w:val="03393105"/>
    <w:rsid w:val="046B1D8B"/>
    <w:rsid w:val="046E3765"/>
    <w:rsid w:val="05FC2DA4"/>
    <w:rsid w:val="06622CB2"/>
    <w:rsid w:val="06A411DD"/>
    <w:rsid w:val="072D08E0"/>
    <w:rsid w:val="083A6841"/>
    <w:rsid w:val="08EE3671"/>
    <w:rsid w:val="09293C1C"/>
    <w:rsid w:val="092A167C"/>
    <w:rsid w:val="0A310FDA"/>
    <w:rsid w:val="0A533E8A"/>
    <w:rsid w:val="0A634ED8"/>
    <w:rsid w:val="0A69025B"/>
    <w:rsid w:val="0AB539B9"/>
    <w:rsid w:val="0B867103"/>
    <w:rsid w:val="0C397098"/>
    <w:rsid w:val="0DA26991"/>
    <w:rsid w:val="0ECB4993"/>
    <w:rsid w:val="112A7044"/>
    <w:rsid w:val="118E5A06"/>
    <w:rsid w:val="123D1FC9"/>
    <w:rsid w:val="12ED5CBA"/>
    <w:rsid w:val="13AA7D91"/>
    <w:rsid w:val="140B63F8"/>
    <w:rsid w:val="14C447F8"/>
    <w:rsid w:val="156452D7"/>
    <w:rsid w:val="17471A1A"/>
    <w:rsid w:val="176F6C9D"/>
    <w:rsid w:val="17936E30"/>
    <w:rsid w:val="18606150"/>
    <w:rsid w:val="19B32EC3"/>
    <w:rsid w:val="1A071A40"/>
    <w:rsid w:val="1A786886"/>
    <w:rsid w:val="1CC7757C"/>
    <w:rsid w:val="1D5379E4"/>
    <w:rsid w:val="1DC008E5"/>
    <w:rsid w:val="1DD86320"/>
    <w:rsid w:val="1EFF5193"/>
    <w:rsid w:val="1F3E25C9"/>
    <w:rsid w:val="1F8905C9"/>
    <w:rsid w:val="1F9A0F77"/>
    <w:rsid w:val="1FEF3071"/>
    <w:rsid w:val="20205D7D"/>
    <w:rsid w:val="2031368A"/>
    <w:rsid w:val="2039362C"/>
    <w:rsid w:val="217E1CFE"/>
    <w:rsid w:val="24875F4B"/>
    <w:rsid w:val="25D6438C"/>
    <w:rsid w:val="25E92311"/>
    <w:rsid w:val="26445799"/>
    <w:rsid w:val="28126A09"/>
    <w:rsid w:val="29B42C36"/>
    <w:rsid w:val="2A6117E0"/>
    <w:rsid w:val="2A8940C2"/>
    <w:rsid w:val="2A9C2048"/>
    <w:rsid w:val="2B975488"/>
    <w:rsid w:val="2BB05A29"/>
    <w:rsid w:val="2BBE1469"/>
    <w:rsid w:val="2BCA739A"/>
    <w:rsid w:val="2D393A69"/>
    <w:rsid w:val="2E0860D1"/>
    <w:rsid w:val="2E402CEA"/>
    <w:rsid w:val="2E5A20BA"/>
    <w:rsid w:val="2ECB5FE2"/>
    <w:rsid w:val="30213808"/>
    <w:rsid w:val="31F44517"/>
    <w:rsid w:val="325C5786"/>
    <w:rsid w:val="337322A8"/>
    <w:rsid w:val="33D53A32"/>
    <w:rsid w:val="34403FA4"/>
    <w:rsid w:val="34DB5F68"/>
    <w:rsid w:val="35912415"/>
    <w:rsid w:val="371778DF"/>
    <w:rsid w:val="37E62326"/>
    <w:rsid w:val="38A511DA"/>
    <w:rsid w:val="3A1B67E7"/>
    <w:rsid w:val="3A7D6982"/>
    <w:rsid w:val="3AAB5B8E"/>
    <w:rsid w:val="3C047712"/>
    <w:rsid w:val="3CCC5DA0"/>
    <w:rsid w:val="3CD77495"/>
    <w:rsid w:val="3D4445A5"/>
    <w:rsid w:val="3DC27043"/>
    <w:rsid w:val="3DD1395F"/>
    <w:rsid w:val="3E8C010F"/>
    <w:rsid w:val="3EFD65C9"/>
    <w:rsid w:val="3F1831BA"/>
    <w:rsid w:val="400E2C48"/>
    <w:rsid w:val="403A795B"/>
    <w:rsid w:val="4044389B"/>
    <w:rsid w:val="40C03B09"/>
    <w:rsid w:val="42100EF9"/>
    <w:rsid w:val="42925DB2"/>
    <w:rsid w:val="42D40179"/>
    <w:rsid w:val="4327269E"/>
    <w:rsid w:val="434B112E"/>
    <w:rsid w:val="443D1A3B"/>
    <w:rsid w:val="4504286C"/>
    <w:rsid w:val="45E8376F"/>
    <w:rsid w:val="46C97C03"/>
    <w:rsid w:val="471A188F"/>
    <w:rsid w:val="472B5FAC"/>
    <w:rsid w:val="483F34F7"/>
    <w:rsid w:val="48AD79E8"/>
    <w:rsid w:val="48F03340"/>
    <w:rsid w:val="4908486B"/>
    <w:rsid w:val="49B06B1E"/>
    <w:rsid w:val="49DC5C4D"/>
    <w:rsid w:val="4A44006F"/>
    <w:rsid w:val="4B3450B1"/>
    <w:rsid w:val="4BAE4378"/>
    <w:rsid w:val="4BFB311F"/>
    <w:rsid w:val="4DA31AFF"/>
    <w:rsid w:val="4DB34E2F"/>
    <w:rsid w:val="4FA7135F"/>
    <w:rsid w:val="50DE6FEF"/>
    <w:rsid w:val="513444D8"/>
    <w:rsid w:val="515756D7"/>
    <w:rsid w:val="52871060"/>
    <w:rsid w:val="52ED4007"/>
    <w:rsid w:val="54210D44"/>
    <w:rsid w:val="54227B28"/>
    <w:rsid w:val="55A27C63"/>
    <w:rsid w:val="55A710AE"/>
    <w:rsid w:val="560F1B9D"/>
    <w:rsid w:val="57BF2D4E"/>
    <w:rsid w:val="58B74CBC"/>
    <w:rsid w:val="59671403"/>
    <w:rsid w:val="598A3C77"/>
    <w:rsid w:val="59EC4AB1"/>
    <w:rsid w:val="5B0418D0"/>
    <w:rsid w:val="5B2814D9"/>
    <w:rsid w:val="5BAA161F"/>
    <w:rsid w:val="5D4D1D73"/>
    <w:rsid w:val="5D972077"/>
    <w:rsid w:val="5E8E770E"/>
    <w:rsid w:val="5EEF779E"/>
    <w:rsid w:val="623B7383"/>
    <w:rsid w:val="63166D1A"/>
    <w:rsid w:val="65922BE0"/>
    <w:rsid w:val="65CF770C"/>
    <w:rsid w:val="680622D3"/>
    <w:rsid w:val="6AB242D2"/>
    <w:rsid w:val="6AC87D14"/>
    <w:rsid w:val="6AF27A26"/>
    <w:rsid w:val="6B2D401B"/>
    <w:rsid w:val="6B557E6C"/>
    <w:rsid w:val="6B686E01"/>
    <w:rsid w:val="6C083654"/>
    <w:rsid w:val="6C094604"/>
    <w:rsid w:val="6C751B3B"/>
    <w:rsid w:val="6DC37643"/>
    <w:rsid w:val="6DD7326D"/>
    <w:rsid w:val="6E182D60"/>
    <w:rsid w:val="6E354925"/>
    <w:rsid w:val="6E4A295F"/>
    <w:rsid w:val="6EAE5472"/>
    <w:rsid w:val="6ED924EF"/>
    <w:rsid w:val="6FE03650"/>
    <w:rsid w:val="70926DFA"/>
    <w:rsid w:val="710B2708"/>
    <w:rsid w:val="724471CD"/>
    <w:rsid w:val="734653CB"/>
    <w:rsid w:val="74963E13"/>
    <w:rsid w:val="75292AD1"/>
    <w:rsid w:val="7553467E"/>
    <w:rsid w:val="760D37CC"/>
    <w:rsid w:val="79870010"/>
    <w:rsid w:val="79E2018B"/>
    <w:rsid w:val="7C7F737F"/>
    <w:rsid w:val="7CF20C20"/>
    <w:rsid w:val="7DD345AE"/>
    <w:rsid w:val="7E921C8E"/>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paragraph" w:customStyle="1" w:styleId="40">
    <w:name w:val="样式 宋体 小四 行距: 1.5 倍行距 首行缩进:  2 字符"/>
    <w:basedOn w:val="1"/>
    <w:qFormat/>
    <w:uiPriority w:val="99"/>
    <w:pPr>
      <w:spacing w:line="360" w:lineRule="auto"/>
      <w:ind w:firstLine="480" w:firstLineChars="200"/>
    </w:pPr>
    <w:rPr>
      <w:rFonts w:ascii="Times New Roman" w:hAnsi="Times New Roman" w:cs="宋体"/>
    </w:rPr>
  </w:style>
  <w:style w:type="character" w:customStyle="1" w:styleId="41">
    <w:name w:val="font21"/>
    <w:basedOn w:val="14"/>
    <w:qFormat/>
    <w:uiPriority w:val="0"/>
    <w:rPr>
      <w:rFonts w:hint="eastAsia" w:ascii="宋体" w:hAnsi="宋体" w:eastAsia="宋体" w:cs="宋体"/>
      <w:color w:val="000000"/>
      <w:sz w:val="20"/>
      <w:szCs w:val="20"/>
      <w:u w:val="none"/>
    </w:rPr>
  </w:style>
  <w:style w:type="character" w:customStyle="1" w:styleId="42">
    <w:name w:val="font31"/>
    <w:basedOn w:val="14"/>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1548</Words>
  <Characters>1796</Characters>
  <Lines>61</Lines>
  <Paragraphs>17</Paragraphs>
  <TotalTime>122</TotalTime>
  <ScaleCrop>false</ScaleCrop>
  <LinksUpToDate>false</LinksUpToDate>
  <CharactersWithSpaces>1864</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2022-10-20T06:50:00Z</cp:lastPrinted>
  <dcterms:modified xsi:type="dcterms:W3CDTF">2023-12-11T02:22:30Z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