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default" w:ascii="Times New Roman" w:hAnsi="Times New Roman" w:cs="Times New Roman"/>
          <w:b/>
          <w:color w:val="000000"/>
          <w:sz w:val="30"/>
          <w:szCs w:val="30"/>
          <w:lang w:val="en-US" w:eastAsia="zh-CN"/>
        </w:rPr>
        <w:t>北三环高速科教城收费站机电及交安设施建设工程工控机、栏杆机、车检器、雾灯、便携式收费机</w:t>
      </w:r>
      <w:r>
        <w:rPr>
          <w:rFonts w:hint="eastAsia" w:cs="Times New Roman"/>
          <w:b/>
          <w:color w:val="000000"/>
          <w:sz w:val="30"/>
          <w:szCs w:val="30"/>
          <w:lang w:val="en-US" w:eastAsia="zh-CN"/>
        </w:rPr>
        <w:t>等设备</w:t>
      </w:r>
      <w:r>
        <w:rPr>
          <w:rFonts w:hint="default" w:ascii="Times New Roman" w:hAnsi="Times New Roman" w:eastAsia="宋体" w:cs="Times New Roman"/>
          <w:b/>
          <w:color w:val="000000"/>
          <w:sz w:val="30"/>
          <w:szCs w:val="30"/>
        </w:rPr>
        <w:t>采购意向征集公告</w:t>
      </w:r>
    </w:p>
    <w:p>
      <w:pPr>
        <w:pStyle w:val="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1.1项目名称：北三环高速科教城收费站机电及交安设施建设工程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7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978"/>
        <w:gridCol w:w="1097"/>
        <w:gridCol w:w="675"/>
        <w:gridCol w:w="1242"/>
        <w:gridCol w:w="1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90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666"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802-1-2</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车道工控机</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台</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2</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802-1-3</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国产化车道工控机</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台</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1</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802-3-3</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车道工控机</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台</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4</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802-9-1</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工控机操作系统</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6</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802-9-2</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国产化工控机操作系统</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1</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802-1-1</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专用车道一体化栏杆机（含基础）</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3</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802-3-4</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混合车道一体化栏杆机（含基础）</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2</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802-3-5</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超宽混合车道一体化栏杆机（双开）</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2</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802-1-9</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单通道车辆检测器</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15</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802-3-10</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单通道车辆检测器</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802-1-14</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手动栏杆</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3</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802-3-14</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手动栏杆</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4</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802-1-13</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雾灯</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3</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802-3-13</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雾灯</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4</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802-1-12</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声光报警器</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3</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802-3-12</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声光报警器</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4</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1"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802-3-16</w:t>
            </w:r>
          </w:p>
        </w:tc>
        <w:tc>
          <w:tcPr>
            <w:tcW w:w="1978"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便携式收费机</w:t>
            </w:r>
          </w:p>
        </w:tc>
        <w:tc>
          <w:tcPr>
            <w:tcW w:w="1097"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套</w:t>
            </w:r>
          </w:p>
        </w:tc>
        <w:tc>
          <w:tcPr>
            <w:tcW w:w="1242"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r>
              <w:rPr>
                <w:rFonts w:hint="default" w:ascii="Times New Roman" w:hAnsi="Times New Roman" w:cs="Times New Roman" w:eastAsiaTheme="minorEastAsia"/>
                <w:sz w:val="18"/>
                <w:szCs w:val="18"/>
                <w:lang w:val="en-US" w:eastAsia="zh-CN"/>
              </w:rPr>
              <w:t>1</w:t>
            </w:r>
          </w:p>
        </w:tc>
        <w:tc>
          <w:tcPr>
            <w:tcW w:w="1666" w:type="dxa"/>
            <w:shd w:val="clear" w:color="auto" w:fill="auto"/>
            <w:vAlign w:val="center"/>
          </w:tcPr>
          <w:p>
            <w:pPr>
              <w:spacing w:beforeLines="50" w:afterLines="50" w:line="240" w:lineRule="auto"/>
              <w:jc w:val="center"/>
              <w:rPr>
                <w:rFonts w:hint="default" w:ascii="Times New Roman" w:hAnsi="Times New Roman" w:cs="Times New Roman" w:eastAsiaTheme="minorEastAsia"/>
                <w:sz w:val="18"/>
                <w:szCs w:val="18"/>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w:t>
      </w:r>
      <w:r>
        <w:rPr>
          <w:rFonts w:hint="eastAsia" w:cs="Times New Roman"/>
          <w:bCs/>
          <w:snapToGrid w:val="0"/>
          <w:kern w:val="0"/>
          <w:sz w:val="24"/>
          <w:szCs w:val="24"/>
          <w:lang w:val="en-US" w:eastAsia="zh-CN"/>
        </w:rPr>
        <w:t>指导安装调试费、</w:t>
      </w:r>
      <w:r>
        <w:rPr>
          <w:rFonts w:hint="default" w:ascii="Times New Roman" w:hAnsi="Times New Roman" w:eastAsia="宋体" w:cs="Times New Roman"/>
          <w:bCs/>
          <w:snapToGrid w:val="0"/>
          <w:kern w:val="0"/>
          <w:sz w:val="24"/>
          <w:szCs w:val="24"/>
        </w:rPr>
        <w:t>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302900</w:t>
      </w:r>
      <w:r>
        <w:rPr>
          <w:rFonts w:hint="default" w:ascii="Times New Roman" w:hAnsi="Times New Roman" w:cs="Times New Roman"/>
          <w:bCs/>
          <w:snapToGrid w:val="0"/>
          <w:kern w:val="0"/>
          <w:sz w:val="24"/>
          <w:szCs w:val="24"/>
          <w:lang w:val="en-US" w:eastAsia="zh-CN"/>
        </w:rPr>
        <w:t xml:space="preserve">.00 </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cs="Times New Roman"/>
          <w:b/>
          <w:snapToGrid w:val="0"/>
          <w:kern w:val="0"/>
          <w:sz w:val="24"/>
          <w:szCs w:val="24"/>
          <w:lang w:val="en-US" w:eastAsia="zh-CN"/>
        </w:rPr>
        <w:t>技术参数</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802-1-2  车道工控机</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功能参数：符合 GB/T 24968 的要求；CPU：核心数：≥4核，总线程数≥8线程，总频率：3.2GHz 或同等运算能力及以上；内存：8GB；硬盘存储：系统盘：配置1块≥250GB SSD：耐久度（TBW）：≥100；MTTF：150万小时；数据盘：配置1块 ≥960GB SATA SSD：最高顺序读取速度（MB/s）：≥520；最高顺序写入速度（MB/s）：≥510；最高随机读取速度（IOPS）：≥80K；最高随机写入速度（IOPS）：≥70K；耐久度（TBW）：≥600；运行温度：0℃至70℃；MTTF≥150万小时；显示支持：支持VGA等输出；串行接口：6路及以上RS232接口；USB 接口：至少4路 USB3.0；网络端口：≥3个千兆以太网口；所有接口板和功能板附有光电隔离保护以减少雷电及高能浪涌的冲击；MTBF：≥50,000 小时。整机散热：满足使用环境条件，在非空调环境下宜选用嵌入式无风扇工业级主机。</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802-1-3  国产化车道工控机</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功能参数：符合 GB/T 24968 的要求；CPU：采用 Loongson 3A5000，4核心，2.3GHz-2.5GHz；内存：8GB；硬盘存储：系统盘：配置1块≥250GB SSD：耐久度（TBW）：≥200；MTBF：≥150万小时；数据盘：配置1块 ≥960GB SSD：最高顺序读取速度（MB/s）：≥520；最高顺序写入速度（MB/s）：≥510；耐久度（TBW）：≥680；运行温度：0℃至70℃；MTTF：≥150万小时；显示支持：支持 VGA 等输出；串行接口：12路RS232接口；USB 接口：至少4 路 USB3.0；网络端口：2 个千兆以太网口；所有接口板和功能板附有光电隔离保护以减少雷电及高能浪涌的冲击；MTBF：&gt;50,000 小时。</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802-3-3  车道工控机</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功能参数：符合 GB/T 24968 的要求；CPU：核心数：≥4核，总线程数≥8线程，总频率：3.2GHz 或同等运算能力及以上；内存：8GB；硬盘存储：系统盘：配置1块≥250GB SSD：耐久度（TBW）：≥100；MTTF：150万小时；数据盘：配置1块 ≥960GB SATA SSD：最高顺序读取速度（MB/s）：≥520；最高顺序写入速度（MB/s）：≥510；最高随机读取速度（IOPS）：≥80K；最高随机写入速度（IOPS）：≥70K；耐久度（TBW）：≥600；运行温度：0℃至70℃；MTTF≥150万小时；显示支持：支持VGA等输出；串行接口：6路及以上RS232接口；USB 接口：至少4路 USB3.0；网络端口：≥3个千兆以太网口；所有接口板和功能板附有光电隔离保护以减少雷电及高能浪涌的冲击；MTBF：≥50,000 小时。整机散热：满足使用环境条件，在非空调环境下宜选用嵌入式无风扇工业级主机。</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802-1-1 专用车道一体化栏杆机（含基础）</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功能参数：高速自动栏杆：ETC 自动栏杆机应符合 JT/T（428.1-428.2）的要求，栏杆臂下边缘距机箱；底平面的高度在 650mm～950mm 之间；快速启动和停止，由水平到竖直和由竖直到水平的运动时间均小于 0.6s；使用寿命：≥3,000,000 往复次或≥10 年；工作环境温度：-40℃～70℃；工作环境湿度：95%无冷凝；带有防冲撞机构，可抗 5 级风力，栏杆臂外力脱开后能够复位；电源：AC220～240V±15%，50～60Hz；防护等级：IP65。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费额显示器：应符合 GB/T 27879 的要求；显示亮度：≥1500cd/m2；显示颜色：红色和绿色；可显示不少于 12 行 4 列汉字，内置 64×96 点阵 GB2312 一级汉字字库；可视距离：＞20m；工作环境温度：-30℃～80℃；工作环境湿度：0％～95％。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高清车牌识别：车牌自动识别设备应符合 JT/T 604 的要求，采用高清车牌识别一体机，能自动识别“GA36-92”(92 式牌照)、“GA36.1-2001”（02 式牌照）标准民用车牌照、04 式军用、新武警、港澳式等各种格式汽车号牌；全天候车牌识别正确率：≥98%；识别速度＜0.2s；支持视频、线圈触发等多种触发方式；视频编码：H.264，H.265，图像编码：JPEG；成像器件：≥1/3inch 逐行扫描 CMOS 或 CCD 图像传感器；有效画面像素≥300 万；具备 OSD 功能，视频能叠加时间、车牌、车道号等各种动态信息字符；全天候室外型防护罩；设备通讯接口：两个10/100M自适应以太网网口；根据上位机接口提供对接动态库；同时支持RTSP拉流；MTBF：≥30,000h；工作环境温度：-40℃～70℃；工作环境湿度：0-95%； 防护等级：IP66；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补光灯：应满足交通运输部《取消高速公路省界收费站总体技术方案》、《取消高速公路省界收费站工程建设方案》、《高速公路 ETC 门架系统技术要求》的规定；满足全天侯不同的环境下进行车辆号牌、车身轮廓补光，无光污染，隐蔽性好，不影响司机夜间行车； 有效补光距离：4～8 米； 色温：6000-6500K；发光角度：45°防护等级：IP65；重量：≤6Kg；工作环境温度：-20℃～+55℃；湿度：＜95％，无凝结；</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车道控制器：以太网通讯接口，适应各种场合进行联网通讯；光电隔离的输入和继电器输出接口；工作寿命大于70000小时；MTBF：大于10000 小时；MTTR：小于0.5小时；4路控制输出，支持数字电压输出和开关信号输出；6路检测输入，支持数字电压输入和开关信号输入；所有 I/O 具备隔离功能，可为光耦隔离或继电器隔离，保护以减少雷电及高能浪涌的冲击；</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802-3-4  混合车道一体化栏杆机（含基础）</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功能参数：高速自动栏杆：ETC 自动栏杆机应符合 JT/T（428.1-428.2）的要求，栏杆臂下边缘距机箱；底平面的高度在 650mm～950mm 之间；快速启动和停止，由水平到竖直和由竖直到水平的运动时间均小于 0.6s；使用寿命：≥3,000,000 往复次或≥10 年；工作环境温度：-40℃～70℃；工作环境湿度：95%无冷凝；带有防冲撞机构，可抗 5 级风力，栏杆臂外力脱开后能够复位；电源：AC220～240V±15%，50～60Hz；防护等级：IP65。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费额显示器：应符合 GB/T 27879 的要求；显示亮度：≥1500cd/m2；显示颜色：红色和绿色；可显示 4 行 4 列汉字，内置 64×96 点阵 GB2312 一级汉字字库；可视距离：＞20m；工作环境温度：-30℃～80℃；工作环境湿度：0％～95％。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高清车牌识别：车牌自动识别设备应符合 JT/T 604 的要求，采用高清车牌识别一体机，能自动识别“GA36-92”(92 式牌照)、“GA36.1-2001”（02 式牌照）标准民用车牌照、04 式军用、新武警、港澳式等各种格式汽车号牌；全天候车牌识别正确率：≥98%；识别速度＜0.2s；支持视频、线圈触发等多种触发方式；视频编码：H.264，H.265，图像编码：JPEG；成像器件：≥1/3inch 逐行扫描 CMOS 或 CCD 图像传感器；有效画面像素≥300 万；具备 OSD 功能，视频能叠加时间、车牌、车道号等各种动态信息字符；全天候室外型防护罩；设备通讯接口：两个10/100M自适应以太网网口；根据上位机接口提供对接动态库；同时支持RTSP拉流；MTBF：≥30,000h；工作环境温度：-40℃～70℃；工作环境湿度：0-95%； 防护等级：IP66；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补光灯：应满足交通运输部《取消高速公路省界收费站总体技术方案》、《取消高速公路省界收费站工程建设方案》、《高速公路 ETC 门架系统技术要求》的规定；满足全天侯不同的环境下进行车辆号牌、车身轮廓补光，无光污染，隐蔽性好，不影响司机夜间行车； 有效补光距离：4～8 米； 色温：6000-6500K；发光角度：45°防护等级：IP65；重量：≤6Kg；工作环境温度：-20℃～+55℃；湿度：＜95％，无凝结；</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车道控制器：以太网通讯接口，适应各种场合进行联网通讯；光电隔离的输入和继电器输出接口；工作寿命大于70000小时；MTBF：大于10000 小时；MTTR：小于0.5小时；4路控制输出，支持数字电压输出和开关信号输出；6路检测输入，支持数字电压输入和开关信号输入；所有 I/O 具备隔离功能，可为光耦隔离或继电器隔离，保护以减少雷电及高能浪涌的冲击；</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802-3-5  超宽混合车道一体化栏杆机（双开）</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功能参数：双开高速自动栏杆：ETC 自动栏杆机应符合 JT/T（428.1-428.2）的要求，栏杆臂下边缘距机箱；底平面的高度在 650mm～950mm 之间；快速启动和停止，由水平到竖直和由竖直到水平的运动时间均小于 0.6s；栏杆臂总长可根据车道宽度调整为4-6米；使用寿命：≥3,000,000 往复次或≥10 年；工作环境温度：-40℃～70℃；工作环境湿度：95%无冷凝；带有防冲撞机构，可抗 5 级风力，栏杆臂外力脱开后能够复位；电源：AC220～240V±15%，50～60Hz；防护等级：IP65。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费额显示器：应符合 GB/T 27879 的要求；显示亮度：≥1500cd/m2；显示颜色：红色和绿色；可显示 4 行 4 列汉字，内置 64×96 点阵 GB2312 一级汉字字库；可视距离：＞20m；工作环境温度：-30℃～80℃；工作环境湿度：0％～95％。</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高清车牌识别：车牌自动识别设备应符合 JT/T 604 的要求，采用高清车牌识别一体机，能自动识别“GA36-92”(92 式牌照)、“GA36.1-2001”（02 式牌照）标准民用车牌照、04 式军用、新武警、港澳式等各种格式汽车号牌；全天候车牌识别正确率：≥98%；识别速度＜0.2s；支持视频、线圈触发等多种触发方式；视频编码：H.264，H.265，图像编码：JPEG；成像器件：≥1/3inch 逐行扫描 CMOS 或 CCD 图像传感器；有效画面像素≥300 万；具备 OSD 功能，视频能叠加时间、车牌、车道号等各种动态信息字符；全天候室外型防护罩；设备通讯接口：两个10/100M自适应以太网网口；根据上位机接口提供对接动态库；同时支持RTSP拉流；MTBF：≥30,000h；工作环境温度：-40℃～70℃；工作环境湿度：0-95%； 防护等级：IP66；</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补光灯：应满足交通运输部《取消高速公路省界收费站总体技术方案》、《取消高速公路省界收费站工程建设方案》、《高速公路 ETC 门架系统技术要求》的规定；满足全天侯不同的环境下进行车辆号牌、车身轮廓补光，无光污染，隐蔽性好，不影响司机夜间行车； 有效补光距离：4～8 米； 色温：6000-6500K；发光角度：45°防护等级：IP65；重量：≤6Kg；工作环境温度：-20℃～+55℃；湿度：＜95％，无凝结；</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车道控制器：以太网通讯接口，适应各种场合进行联网通讯；光电隔离的输入和继电器输出接口；工作寿命大于70000小时；MTBF：大于10000 小时；MTTR：小于0.5小时；4路控制输出，支持数字电压输出和开关信号输出；6路检测输入，支持数字电压输入和开关信号输入；所有 I/O 具备隔离功能，可为光耦隔离或继电器隔离，保护以减少雷电及高能浪涌的冲击；</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802-1-9  单通道车辆检测器</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车辆检测器应可以检测出入高速公路的各种车辆；可检测出距离相近的两辆车；各车道的检测器不能互相干扰，金属物体在两车道之间的收费岛上移动时，不能影响检测器的性能和精度；检测器应有人工复位按钮；频率：3级以上可调；灵敏度：4级以上可调；用于车辆计数检测器误差1×10-4；车速：≤60Km/h；使用寿命：&gt;5000000辆次；电源：24Vdc±15%；150mA；工作温度：-40℃～+85℃；湿度：95%。</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802-3-10  单通道车辆检测器</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车辆检测器应可以检测出入高速公路的各种车辆；可检测出距离相近的两辆车；各车道的检测器不能互相干扰，金属物体在两车道之间的收费岛上移动时，不能影响检测器的性能和精度；检测器应有人工复位按钮；频率：3级以上可调；灵敏度：4级以上可调；用于车辆计数检测器误差1×10-4；车速：≤60Km/h；使用寿命：&gt;5000000辆次；电源：24Vdc±15%；150mA；工作温度：-40℃～+85℃；湿度：95%。</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802-1-13  雾灯</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功能参数：显示尺寸：≥φ200㎜；光源：石英卤化物光源</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802-3-13  雾灯</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功能参数：显示尺寸：≥φ200㎜；光源：石英卤化物光源</w:t>
      </w:r>
    </w:p>
    <w:p>
      <w:pPr>
        <w:pStyle w:val="2"/>
        <w:ind w:left="0" w:leftChars="0"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802-3-16  便携式收费机</w:t>
      </w:r>
    </w:p>
    <w:p>
      <w:pPr>
        <w:numPr>
          <w:ilvl w:val="0"/>
          <w:numId w:val="0"/>
        </w:numPr>
        <w:topLinePunct/>
        <w:spacing w:line="360" w:lineRule="auto"/>
        <w:outlineLvl w:val="1"/>
        <w:rPr>
          <w:rFonts w:hint="default" w:ascii="Times New Roman" w:hAnsi="Times New Roman" w:eastAsia="宋体" w:cs="Times New Roman"/>
          <w:b/>
          <w:snapToGrid w:val="0"/>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功能参数：为可移动的车道收费机，有独立的供电系统、票据打印机、CPC卡读写器、收费键盘、显示屏、网络通讯接口等。CPU：嵌入式低功耗低电压CPU，2核2.4G或同等运算能力及以上；内存：≥8G；接口：至少1个RS-232串口、至少2个10M／100M／1000M／自适应网口；至少3个USB接口；键盘：收费专用键盘，支持外接PC键盘；硬盘存储：容量≥500G；显示屏：15寸，TFT全彩液晶，分辨率1024*768以上；电池续航时间5小时以上；具有电量指示及电量报警；功耗：＜100W；工作温度：-5℃～＋40℃；相对湿度：10％～95％（非冷凝）；MTBF：＞10,000小时。</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default" w:ascii="Times New Roman" w:hAnsi="Times New Roman" w:cs="Times New Roman"/>
          <w:color w:val="000000"/>
          <w:sz w:val="24"/>
          <w:szCs w:val="24"/>
          <w:u w:val="single"/>
          <w:lang w:val="en-US" w:eastAsia="zh-CN"/>
        </w:rPr>
        <w:t>1</w:t>
      </w:r>
      <w:r>
        <w:rPr>
          <w:rFonts w:hint="eastAsia" w:ascii="Times New Roman" w:hAnsi="Times New Roman" w:cs="Times New Roman"/>
          <w:color w:val="000000"/>
          <w:sz w:val="24"/>
          <w:szCs w:val="24"/>
          <w:u w:val="single"/>
          <w:lang w:val="en-US" w:eastAsia="zh-CN"/>
        </w:rPr>
        <w:t>2</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9</w:t>
      </w:r>
      <w:r>
        <w:rPr>
          <w:rFonts w:hint="default" w:ascii="Times New Roman" w:hAnsi="Times New Roman" w:eastAsia="宋体" w:cs="Times New Roman"/>
          <w:color w:val="000000"/>
          <w:sz w:val="24"/>
          <w:szCs w:val="24"/>
          <w:u w:val="single"/>
        </w:rPr>
        <w:t>日</w:t>
      </w:r>
      <w:r>
        <w:rPr>
          <w:rFonts w:hint="default" w:ascii="Times New Roman" w:hAnsi="Times New Roman" w:cs="Times New Roman"/>
          <w:color w:val="000000"/>
          <w:sz w:val="24"/>
          <w:szCs w:val="24"/>
          <w:u w:val="single"/>
          <w:lang w:val="en-US" w:eastAsia="zh-CN"/>
        </w:rPr>
        <w:t>1</w:t>
      </w:r>
      <w:r>
        <w:rPr>
          <w:rFonts w:hint="eastAsia" w:cs="Times New Roman"/>
          <w:color w:val="000000"/>
          <w:sz w:val="24"/>
          <w:szCs w:val="24"/>
          <w:u w:val="single"/>
          <w:lang w:val="en-US" w:eastAsia="zh-CN"/>
        </w:rPr>
        <w:t>7</w:t>
      </w:r>
      <w:bookmarkStart w:id="3" w:name="_GoBack"/>
      <w:bookmarkEnd w:id="3"/>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ascii="Times New Roman" w:hAnsi="Times New Roman" w:cs="Times New Roman"/>
          <w:color w:val="000000"/>
          <w:sz w:val="24"/>
          <w:szCs w:val="24"/>
          <w:lang w:val="en-US" w:eastAsia="zh-CN"/>
        </w:rPr>
        <w:t>1204355776</w:t>
      </w:r>
      <w:r>
        <w:rPr>
          <w:rFonts w:hint="default" w:ascii="Times New Roman" w:hAnsi="Times New Roman" w:eastAsia="宋体" w:cs="Times New Roman"/>
          <w:snapToGrid w:val="0"/>
          <w:color w:val="000000"/>
          <w:kern w:val="0"/>
          <w:sz w:val="24"/>
          <w:szCs w:val="24"/>
        </w:rPr>
        <w:t>@</w:t>
      </w:r>
      <w:r>
        <w:rPr>
          <w:rFonts w:hint="default" w:ascii="Times New Roman" w:hAnsi="Times New Roman"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default" w:ascii="Times New Roman" w:hAnsi="Times New Roman" w:cs="Times New Roman"/>
          <w:snapToGrid w:val="0"/>
          <w:color w:val="000000"/>
          <w:kern w:val="0"/>
          <w:sz w:val="24"/>
          <w:szCs w:val="24"/>
          <w:lang w:eastAsia="zh-CN"/>
        </w:rPr>
        <w:t>，</w:t>
      </w:r>
      <w:r>
        <w:rPr>
          <w:rFonts w:hint="default" w:ascii="Times New Roman" w:hAnsi="Times New Roman" w:cs="Times New Roman"/>
          <w:snapToGrid w:val="0"/>
          <w:color w:val="000000"/>
          <w:kern w:val="0"/>
          <w:sz w:val="24"/>
          <w:lang w:val="en-US" w:eastAsia="zh-CN"/>
        </w:rPr>
        <w:t>回执命名“</w:t>
      </w:r>
      <w:r>
        <w:rPr>
          <w:rFonts w:hint="default" w:ascii="Times New Roman" w:hAnsi="Times New Roman" w:cs="Times New Roman"/>
          <w:snapToGrid w:val="0"/>
          <w:color w:val="FF0000"/>
          <w:kern w:val="0"/>
          <w:sz w:val="24"/>
          <w:lang w:val="en-US" w:eastAsia="zh-CN"/>
        </w:rPr>
        <w:t>XX</w:t>
      </w:r>
      <w:r>
        <w:rPr>
          <w:rFonts w:hint="default" w:ascii="Times New Roman" w:hAnsi="Times New Roman" w:eastAsia="宋体" w:cs="Times New Roman"/>
          <w:snapToGrid w:val="0"/>
          <w:color w:val="FF0000"/>
          <w:kern w:val="0"/>
          <w:sz w:val="24"/>
          <w:lang w:val="en-US" w:eastAsia="zh-CN"/>
        </w:rPr>
        <w:t>项目</w:t>
      </w:r>
      <w:r>
        <w:rPr>
          <w:rFonts w:hint="default" w:ascii="Times New Roman" w:hAnsi="Times New Roman" w:cs="Times New Roman"/>
          <w:snapToGrid w:val="0"/>
          <w:color w:val="FF0000"/>
          <w:kern w:val="0"/>
          <w:sz w:val="24"/>
          <w:lang w:val="en-US" w:eastAsia="zh-CN"/>
        </w:rPr>
        <w:t>xx采购xx供应商响应回执</w:t>
      </w:r>
      <w:r>
        <w:rPr>
          <w:rFonts w:hint="default" w:ascii="Times New Roman" w:hAnsi="Times New Roman" w:cs="Times New Roman"/>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18"/>
      <w:bookmarkStart w:id="2" w:name="_Toc332793891"/>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ascii="Times New Roman" w:hAnsi="Times New Roman" w:cs="Times New Roman"/>
          <w:color w:val="000000"/>
          <w:sz w:val="24"/>
          <w:szCs w:val="24"/>
          <w:lang w:val="en-US" w:eastAsia="zh-CN"/>
        </w:rPr>
        <w:t>刘</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default" w:ascii="Times New Roman" w:hAnsi="Times New Roman" w:cs="Times New Roman"/>
          <w:color w:val="000000"/>
          <w:sz w:val="24"/>
          <w:szCs w:val="24"/>
          <w:lang w:val="en-US" w:eastAsia="zh-CN"/>
        </w:rPr>
        <w:t>1</w:t>
      </w:r>
      <w:r>
        <w:rPr>
          <w:rFonts w:hint="eastAsia" w:ascii="Times New Roman" w:hAnsi="Times New Roman" w:cs="Times New Roman"/>
          <w:color w:val="000000"/>
          <w:sz w:val="24"/>
          <w:szCs w:val="24"/>
          <w:lang w:val="en-US" w:eastAsia="zh-CN"/>
        </w:rPr>
        <w:t>2</w:t>
      </w:r>
      <w:r>
        <w:rPr>
          <w:rFonts w:hint="default" w:ascii="Times New Roman" w:hAnsi="Times New Roman" w:eastAsia="宋体" w:cs="Times New Roman"/>
          <w:color w:val="000000"/>
          <w:sz w:val="24"/>
          <w:szCs w:val="24"/>
        </w:rPr>
        <w:t>月</w:t>
      </w:r>
      <w:r>
        <w:rPr>
          <w:rFonts w:hint="eastAsia" w:ascii="Times New Roman" w:hAnsi="Times New Roman" w:cs="Times New Roman"/>
          <w:color w:val="000000"/>
          <w:sz w:val="24"/>
          <w:szCs w:val="24"/>
          <w:lang w:val="en-US" w:eastAsia="zh-CN"/>
        </w:rPr>
        <w:t>7</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I3N2RkNjNkMmQ3Y2I1ZjE0N2ZmZTdkNWY5YmY4ZmI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9D66A7"/>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0213808"/>
    <w:rsid w:val="31F44517"/>
    <w:rsid w:val="325C5786"/>
    <w:rsid w:val="337322A8"/>
    <w:rsid w:val="33D53A32"/>
    <w:rsid w:val="34403FA4"/>
    <w:rsid w:val="34DB5F68"/>
    <w:rsid w:val="35912415"/>
    <w:rsid w:val="35922298"/>
    <w:rsid w:val="359874D0"/>
    <w:rsid w:val="371778DF"/>
    <w:rsid w:val="37E62326"/>
    <w:rsid w:val="38A511DA"/>
    <w:rsid w:val="3A1B67E7"/>
    <w:rsid w:val="3A7D6982"/>
    <w:rsid w:val="3AAB5B8E"/>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27269E"/>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F72096E"/>
    <w:rsid w:val="4FA7135F"/>
    <w:rsid w:val="4FB05555"/>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BAA161F"/>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1548</Words>
  <Characters>1796</Characters>
  <Lines>61</Lines>
  <Paragraphs>17</Paragraphs>
  <TotalTime>17</TotalTime>
  <ScaleCrop>false</ScaleCrop>
  <LinksUpToDate>false</LinksUpToDate>
  <CharactersWithSpaces>1864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hp</cp:lastModifiedBy>
  <cp:lastPrinted>2022-10-20T06:50:00Z</cp:lastPrinted>
  <dcterms:modified xsi:type="dcterms:W3CDTF">2023-12-06T10:08:22Z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B75484C30A0D48A998196F431A9A3E69</vt:lpwstr>
  </property>
</Properties>
</file>