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北三环高速科教城收费站机电及交安设施建设工程UPS及机房防静电地板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2155"/>
        <w:gridCol w:w="1336"/>
        <w:gridCol w:w="1023"/>
        <w:gridCol w:w="750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1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802-4-16</w:t>
            </w:r>
          </w:p>
        </w:tc>
        <w:tc>
          <w:tcPr>
            <w:tcW w:w="215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机房防静电地板</w:t>
            </w: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平米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采用磁面、防滑、防静电地板砖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,含安装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802-10-1</w:t>
            </w:r>
          </w:p>
        </w:tc>
        <w:tc>
          <w:tcPr>
            <w:tcW w:w="215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10KVA UPS(含电池)</w:t>
            </w: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+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96000.00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ind w:left="0" w:leftChars="0" w:firstLine="0" w:firstLineChars="0"/>
      </w:pPr>
      <w:r>
        <w:rPr>
          <w:rFonts w:hint="eastAsia" w:hAnsiTheme="minorEastAsia" w:eastAsiaTheme="minorEastAsia"/>
          <w:sz w:val="24"/>
          <w:szCs w:val="24"/>
          <w:lang w:val="en-US" w:eastAsia="zh-CN"/>
        </w:rPr>
        <w:t>802-10-</w:t>
      </w:r>
      <w:r>
        <w:rPr>
          <w:rFonts w:hint="eastAsia" w:hAnsiTheme="minorEastAsia"/>
          <w:sz w:val="24"/>
          <w:szCs w:val="24"/>
          <w:lang w:val="en-US" w:eastAsia="zh-CN"/>
        </w:rPr>
        <w:t>1</w:t>
      </w:r>
      <w:r>
        <w:rPr>
          <w:rFonts w:hint="eastAsia" w:hAnsiTheme="minorEastAsia" w:eastAsiaTheme="minorEastAsia"/>
          <w:sz w:val="24"/>
          <w:szCs w:val="24"/>
          <w:lang w:val="en-US" w:eastAsia="zh-CN"/>
        </w:rPr>
        <w:t xml:space="preserve">  10KVA UPS(含电池)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UPS 主机采用机架式；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容量：10kVA；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输入形式：三相输入；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输入电压：380±25%V 交流 AC，频率：50±5%Hz；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软启动（0 至 100%）：5s；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输出形式：单相输出；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输出电压：220±1%V 交流 AC，频率：50±0.5%Hz； </w:t>
      </w: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过载能力：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过载 105%～125% 运行 5 分钟；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过载≤150%运行 1 分钟；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过载＞150%运行 200ms；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输出功率因数：≥95%；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线性负载下波形失真：≤3%，非线性负载＜5%；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静态旁路转换时间：0ms；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具备直流启动功能，UPS 可在市电断电时自动启动；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具备并机功能，便于扩容；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全中文 LCD 显示功能，可实时显示输入电压、输入频率、输出电压、负载、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电池电压、电池充放电电流、电池剩余容量等；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具备输出短路保护、过载保护、过温保护、电池低压保护、输出过压/欠压保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护等功能；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具备自检诊断、告警功能，含声光报警，可对输入异常、电池欠压、过载及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其他故障时作出报警；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具备电池自测试功能，定时自动均/浮充转换，可实时监测每节电池的工作状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态；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提供智能通信远程监控以太网端口，支持 SNMP 协议远程管理；北三环高速科教城收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阀控密封式铅酸电池，专用电池箱，满负载后备时间：≥2h，不漏（渗）液、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无酸雾、不腐蚀。额定电压：12VDC，容量保持率≥96％/月，浮充设计寿命≥6 年。 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平均故障间隔（MTBF）≥3 万小时；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主机对电池有大功率充电能力，标配超过 9A 的充电电流；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具备低压脱离保护功能，在蓄电池低压时自动脱离负载；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来电后保护 UPS 自动重启并对蓄电池进行恒压限流充电；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平均故障间隔（MTBF）：UPS 设备在正常使用环境条件下，≥5 万小时（不含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蓄电池）；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要求标配同步双总线功能，可进行同步双总线方案配置；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具有干接点实现外部告警的功能，包括市电告警、UPS 故障告警（内容包括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UPS 电池低电压告警和逆变故障告警等）等相关能反映 UPS 运行性能的告警；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应具备监控接口，并提供智能监控卡插槽，可接入相关通讯卡，支持 TCP/IP、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 xml:space="preserve">RS-485 和 MODBUS 等通讯接口，并免费提供监控协议；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噪音：＜60dB</w:t>
      </w: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b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1"/>
          <w:szCs w:val="21"/>
          <w:u w:val="none"/>
          <w:lang w:val="en-US" w:eastAsia="zh-CN" w:bidi="ar"/>
        </w:rPr>
        <w:t>2、包含安装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B45EC9"/>
    <w:rsid w:val="31F44517"/>
    <w:rsid w:val="325C5786"/>
    <w:rsid w:val="337322A8"/>
    <w:rsid w:val="33D53A32"/>
    <w:rsid w:val="34403FA4"/>
    <w:rsid w:val="34DB5F68"/>
    <w:rsid w:val="35912415"/>
    <w:rsid w:val="371778DF"/>
    <w:rsid w:val="377E7D0B"/>
    <w:rsid w:val="37E62326"/>
    <w:rsid w:val="38A511DA"/>
    <w:rsid w:val="3A1B67E7"/>
    <w:rsid w:val="3A7D6982"/>
    <w:rsid w:val="3AAB5B8E"/>
    <w:rsid w:val="3BDD3523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8</TotalTime>
  <ScaleCrop>false</ScaleCrop>
  <LinksUpToDate>false</LinksUpToDate>
  <CharactersWithSpaces>1864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2023-12-06T10:44:16Z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