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广州市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从化至黄埔高速公路一期工程机电工程（SG09合同段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  <w:lang w:eastAsia="zh-CN"/>
        </w:rPr>
        <w:t>）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镀锌钢管、支架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广州市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从化至黄埔</w:t>
      </w:r>
      <w:bookmarkStart w:id="7" w:name="_GoBack"/>
      <w:bookmarkEnd w:id="7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高速公路一期工程机电工程（SG09合同段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2903"/>
        <w:gridCol w:w="1317"/>
        <w:gridCol w:w="933"/>
        <w:gridCol w:w="883"/>
        <w:gridCol w:w="9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807-10-2-3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管道支架(TJ2:700X450mm)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807-10-2-5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管箱支架(TJ1:450X450mm)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2345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807-10-2-6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管道支架(TJ3:450X450mm)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809-1-2-2-2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2孔Φ89X4.0镀锌钢管（横穿路面）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市售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延米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新增24</w:t>
            </w:r>
          </w:p>
        </w:tc>
        <w:tc>
          <w:tcPr>
            <w:tcW w:w="290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隧道桥架支架</w:t>
            </w:r>
          </w:p>
        </w:tc>
        <w:tc>
          <w:tcPr>
            <w:tcW w:w="13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定制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8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3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304015.0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24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技术要求</w:t>
      </w:r>
    </w:p>
    <w:p>
      <w:pPr>
        <w:pStyle w:val="5"/>
        <w:numPr>
          <w:ilvl w:val="2"/>
          <w:numId w:val="0"/>
        </w:numPr>
        <w:spacing w:line="360" w:lineRule="auto"/>
        <w:ind w:left="142" w:leftChars="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bookmarkStart w:id="0" w:name="_Toc28338"/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807-10-2-3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管道支架(TJ2:700X450mm)</w:t>
      </w:r>
      <w:bookmarkEnd w:id="0"/>
    </w:p>
    <w:p>
      <w:pPr>
        <w:widowControl/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尺寸按图纸要求，</w:t>
      </w:r>
    </w:p>
    <w:p>
      <w:pPr>
        <w:widowControl/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角钢托架，为管道过桥或壁挂安装使用。</w:t>
      </w:r>
    </w:p>
    <w:p>
      <w:pPr>
        <w:widowControl/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角钢托架制作工艺应符合《热轧等边角钢尺寸、外形、重量及允许偏差》（GB9787-1988）中对角钢的要求。</w:t>
      </w:r>
    </w:p>
    <w:p>
      <w:pPr>
        <w:widowControl/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各构件外型要求平直，管端平齐，无毛刺、飞边等现象。</w:t>
      </w:r>
    </w:p>
    <w:p>
      <w:pPr>
        <w:widowControl/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各构件外型要求平直，无明显歪斜，两端断面垂直。</w:t>
      </w:r>
    </w:p>
    <w:p>
      <w:pPr>
        <w:widowControl/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内外表面平整光滑、色泽均匀。</w:t>
      </w:r>
    </w:p>
    <w:p>
      <w:pPr>
        <w:widowControl/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所有镀锌金属件应采用热浸镀锌，镀锌层平均重量应≥600g/m2。</w:t>
      </w:r>
    </w:p>
    <w:p>
      <w:pPr>
        <w:widowControl/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托架尺寸和形状应满足图纸及管箱或管道安装固定要求。</w:t>
      </w:r>
    </w:p>
    <w:p>
      <w:pPr>
        <w:pStyle w:val="5"/>
        <w:numPr>
          <w:ilvl w:val="2"/>
          <w:numId w:val="0"/>
        </w:numPr>
        <w:spacing w:line="360" w:lineRule="auto"/>
        <w:ind w:left="142" w:leftChars="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bookmarkStart w:id="1" w:name="_Toc15899"/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807-10-2-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管箱支架(TJ1:450X450mm)</w:t>
      </w:r>
      <w:bookmarkEnd w:id="1"/>
    </w:p>
    <w:p>
      <w:pPr>
        <w:widowControl/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尺寸按图纸要求，其余同“807-10-2-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管箱支架TJ1（TJ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：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70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0×450mm）”。</w:t>
      </w:r>
    </w:p>
    <w:p>
      <w:pPr>
        <w:pStyle w:val="5"/>
        <w:numPr>
          <w:ilvl w:val="2"/>
          <w:numId w:val="0"/>
        </w:numPr>
        <w:spacing w:line="360" w:lineRule="auto"/>
        <w:ind w:left="142" w:leftChars="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bookmarkStart w:id="2" w:name="_Toc3068"/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807-10-2-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ab/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管道支架(TJ3:450X450mm)</w:t>
      </w:r>
      <w:bookmarkEnd w:id="2"/>
    </w:p>
    <w:p>
      <w:pPr>
        <w:widowControl/>
        <w:numPr>
          <w:ilvl w:val="0"/>
          <w:numId w:val="5"/>
        </w:numPr>
        <w:spacing w:line="360" w:lineRule="auto"/>
        <w:ind w:left="0"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尺寸按图纸要求，其余同“807-10-2-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管箱支架TJ1（TJ1：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70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0×450mm）”。</w:t>
      </w:r>
    </w:p>
    <w:p>
      <w:pPr>
        <w:pStyle w:val="5"/>
        <w:numPr>
          <w:ilvl w:val="2"/>
          <w:numId w:val="0"/>
        </w:numPr>
        <w:spacing w:line="360" w:lineRule="auto"/>
        <w:ind w:left="142" w:leftChars="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bookmarkStart w:id="3" w:name="_Toc8038"/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809-1-2 铺设镀锌钢管</w:t>
      </w:r>
      <w:bookmarkEnd w:id="3"/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  <w:t>镀锌钢管材质、规格、型号、应符合设计文件的规定，满足国家标准GB／T 3091-2015《低压流体输送用镀锌焊接钢管》的要求。管壁应光滑、无裂缝、无节疤，钢管弯曲处不能有凹凸或裂缝，钢管的弯曲半径应不小于钢管外径的10倍。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  <w:t>镀锌钢管应进行热浸镀锌处理，镀锌值≥600g/㎡，镀层应均匀完整,表面光洁、无脱落、无气泡等缺陷。热浸镀锌所用的锌为《锌锭》（GB/T470-2008）中规定的0号锌或1号锌。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  <w:t>热浸镀锌所用的锌为《锌 锭》（GB/T470-2008）中规定的0号锌或1号锌。应符合GB/T18226-2015《公路交通工程钢构件防腐技术条件》要求。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  <w:t>钢管接续采用套接焊接方式，焊缝的质量应符合有关焊接标准规定。在镀锌钢管接续前必须检查端口是否有毛刺、断牙、缺口等，并将管口锉成坡边，以免损伤光（电）缆，两管插入套管后，在套管两端满焊除去焊渣，做防腐处理。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  <w:t>规格尺寸：</w:t>
      </w:r>
    </w:p>
    <w:p>
      <w:pPr>
        <w:spacing w:line="360" w:lineRule="auto"/>
        <w:jc w:val="center"/>
        <w:rPr>
          <w:rFonts w:hint="default" w:ascii="Times New Roman" w:hAnsi="Times New Roman" w:eastAsia="宋体" w:cs="Times New Roman"/>
          <w:b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/>
          <w:color w:val="auto"/>
          <w:sz w:val="24"/>
          <w:szCs w:val="24"/>
          <w:highlight w:val="none"/>
        </w:rPr>
        <w:t>镀锌钢管规格一览表</w:t>
      </w:r>
    </w:p>
    <w:tbl>
      <w:tblPr>
        <w:tblStyle w:val="13"/>
        <w:tblW w:w="882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9"/>
        <w:gridCol w:w="2102"/>
        <w:gridCol w:w="1874"/>
        <w:gridCol w:w="1874"/>
        <w:gridCol w:w="149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89" w:type="dxa"/>
            <w:vMerge w:val="restart"/>
            <w:tcBorders>
              <w:top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  <w:t>公称外径</w:t>
            </w:r>
          </w:p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  <w:t>mm</w:t>
            </w:r>
          </w:p>
        </w:tc>
        <w:tc>
          <w:tcPr>
            <w:tcW w:w="2102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  <w:t>外径允许偏差</w:t>
            </w:r>
          </w:p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  <w:t>mm</w:t>
            </w:r>
          </w:p>
        </w:tc>
        <w:tc>
          <w:tcPr>
            <w:tcW w:w="3748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843" w:firstLineChars="35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  <w:t>壁厚</w:t>
            </w:r>
          </w:p>
        </w:tc>
        <w:tc>
          <w:tcPr>
            <w:tcW w:w="1490" w:type="dxa"/>
            <w:tcBorders>
              <w:top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  <w:t>理论重量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89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pStyle w:val="40"/>
              <w:keepNext/>
              <w:keepLines/>
              <w:spacing w:before="340" w:after="330" w:line="240" w:lineRule="auto"/>
              <w:ind w:firstLine="0" w:firstLineChars="0"/>
              <w:jc w:val="center"/>
              <w:outlineLvl w:val="0"/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102" w:type="dxa"/>
            <w:vMerge w:val="continue"/>
            <w:vAlign w:val="center"/>
          </w:tcPr>
          <w:p>
            <w:pPr>
              <w:pStyle w:val="40"/>
              <w:keepNext/>
              <w:keepLines/>
              <w:spacing w:before="340" w:after="330" w:line="240" w:lineRule="auto"/>
              <w:ind w:firstLine="0" w:firstLineChars="0"/>
              <w:jc w:val="center"/>
              <w:outlineLvl w:val="0"/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74" w:type="dxa"/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  <w:t>公称尺寸mm</w:t>
            </w:r>
          </w:p>
        </w:tc>
        <w:tc>
          <w:tcPr>
            <w:tcW w:w="1874" w:type="dxa"/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  <w:t>允许偏差mm</w:t>
            </w:r>
          </w:p>
        </w:tc>
        <w:tc>
          <w:tcPr>
            <w:tcW w:w="1490" w:type="dxa"/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</w:rPr>
              <w:t>Kg/m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89" w:type="dxa"/>
            <w:tcMar>
              <w:left w:w="28" w:type="dxa"/>
              <w:right w:w="28" w:type="dxa"/>
            </w:tcMar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114</w:t>
            </w:r>
          </w:p>
        </w:tc>
        <w:tc>
          <w:tcPr>
            <w:tcW w:w="2102" w:type="dxa"/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±1</w:t>
            </w:r>
          </w:p>
        </w:tc>
        <w:tc>
          <w:tcPr>
            <w:tcW w:w="1874" w:type="dxa"/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4.0</w:t>
            </w:r>
          </w:p>
        </w:tc>
        <w:tc>
          <w:tcPr>
            <w:tcW w:w="1874" w:type="dxa"/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±0.10</w:t>
            </w:r>
          </w:p>
        </w:tc>
        <w:tc>
          <w:tcPr>
            <w:tcW w:w="1490" w:type="dxa"/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10.88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89" w:type="dxa"/>
            <w:tcBorders>
              <w:bottom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89</w:t>
            </w:r>
          </w:p>
        </w:tc>
        <w:tc>
          <w:tcPr>
            <w:tcW w:w="2102" w:type="dxa"/>
            <w:tcBorders>
              <w:bottom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±1</w:t>
            </w:r>
          </w:p>
        </w:tc>
        <w:tc>
          <w:tcPr>
            <w:tcW w:w="1874" w:type="dxa"/>
            <w:tcBorders>
              <w:bottom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4.0</w:t>
            </w:r>
          </w:p>
        </w:tc>
        <w:tc>
          <w:tcPr>
            <w:tcW w:w="1874" w:type="dxa"/>
            <w:tcBorders>
              <w:bottom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±0.10</w:t>
            </w:r>
          </w:p>
        </w:tc>
        <w:tc>
          <w:tcPr>
            <w:tcW w:w="1490" w:type="dxa"/>
            <w:tcBorders>
              <w:bottom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8.34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89" w:type="dxa"/>
            <w:tcBorders>
              <w:bottom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60</w:t>
            </w:r>
          </w:p>
        </w:tc>
        <w:tc>
          <w:tcPr>
            <w:tcW w:w="2102" w:type="dxa"/>
            <w:tcBorders>
              <w:bottom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±1</w:t>
            </w:r>
          </w:p>
        </w:tc>
        <w:tc>
          <w:tcPr>
            <w:tcW w:w="1874" w:type="dxa"/>
            <w:tcBorders>
              <w:bottom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3.5</w:t>
            </w:r>
          </w:p>
        </w:tc>
        <w:tc>
          <w:tcPr>
            <w:tcW w:w="1874" w:type="dxa"/>
            <w:tcBorders>
              <w:bottom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±0.10</w:t>
            </w:r>
          </w:p>
        </w:tc>
        <w:tc>
          <w:tcPr>
            <w:tcW w:w="1490" w:type="dxa"/>
            <w:tcBorders>
              <w:bottom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5.61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89" w:type="dxa"/>
            <w:tcBorders>
              <w:bottom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50</w:t>
            </w:r>
          </w:p>
        </w:tc>
        <w:tc>
          <w:tcPr>
            <w:tcW w:w="2102" w:type="dxa"/>
            <w:tcBorders>
              <w:bottom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±1</w:t>
            </w:r>
          </w:p>
        </w:tc>
        <w:tc>
          <w:tcPr>
            <w:tcW w:w="1874" w:type="dxa"/>
            <w:tcBorders>
              <w:bottom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3.0</w:t>
            </w:r>
          </w:p>
        </w:tc>
        <w:tc>
          <w:tcPr>
            <w:tcW w:w="1874" w:type="dxa"/>
            <w:tcBorders>
              <w:bottom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±0.10</w:t>
            </w:r>
          </w:p>
        </w:tc>
        <w:tc>
          <w:tcPr>
            <w:tcW w:w="1490" w:type="dxa"/>
            <w:tcBorders>
              <w:bottom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4.10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89" w:type="dxa"/>
            <w:tcBorders>
              <w:bottom w:val="single" w:color="auto" w:sz="12" w:space="0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30</w:t>
            </w:r>
          </w:p>
        </w:tc>
        <w:tc>
          <w:tcPr>
            <w:tcW w:w="2102" w:type="dxa"/>
            <w:tcBorders>
              <w:bottom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±1</w:t>
            </w:r>
          </w:p>
        </w:tc>
        <w:tc>
          <w:tcPr>
            <w:tcW w:w="1874" w:type="dxa"/>
            <w:tcBorders>
              <w:bottom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3.0</w:t>
            </w:r>
          </w:p>
        </w:tc>
        <w:tc>
          <w:tcPr>
            <w:tcW w:w="1874" w:type="dxa"/>
            <w:tcBorders>
              <w:bottom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±0.10</w:t>
            </w:r>
          </w:p>
        </w:tc>
        <w:tc>
          <w:tcPr>
            <w:tcW w:w="1490" w:type="dxa"/>
            <w:tcBorders>
              <w:bottom w:val="single" w:color="auto" w:sz="12" w:space="0"/>
            </w:tcBorders>
            <w:vAlign w:val="center"/>
          </w:tcPr>
          <w:p>
            <w:pPr>
              <w:pStyle w:val="4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2.55</w:t>
            </w:r>
          </w:p>
        </w:tc>
      </w:tr>
    </w:tbl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  <w:t>长度：4-10米；长度允许偏差为±20mm。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  <w:t>镀锌钢管施工时，两端应用配套堵头堵住，避免杂物进入。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  <w:t>镀锌钢管埋设与面层一下，埋设高程应严格按照施工图要求施工。</w:t>
      </w:r>
    </w:p>
    <w:p>
      <w:pPr>
        <w:pStyle w:val="2"/>
        <w:ind w:left="0" w:leftChars="0" w:firstLine="480" w:firstLineChars="200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</w:rPr>
        <w:t>施工过程中勿使钉、镐、铲、坚石等伤及镀锌钢管</w:t>
      </w:r>
      <w:r>
        <w:rPr>
          <w:rFonts w:hint="default" w:ascii="Times New Roman" w:hAnsi="Times New Roman" w:eastAsia="宋体" w:cs="Times New Roman"/>
          <w:bCs/>
          <w:color w:val="auto"/>
          <w:sz w:val="24"/>
          <w:szCs w:val="24"/>
          <w:highlight w:val="none"/>
          <w:lang w:eastAsia="zh-CN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@qq.com，逾期无效。采购人在收到响应回执后根据供应商信用信誉等情况进行讨论提议，按优先选取本公司库内供应商原则开展后续采购活动，不再另行发布采购公告。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4" w:name="_Toc332793818"/>
      <w:bookmarkStart w:id="5" w:name="_Toc332965960"/>
      <w:bookmarkStart w:id="6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4"/>
      <w:bookmarkEnd w:id="5"/>
      <w:bookmarkEnd w:id="6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4">
    <w:nsid w:val="7F7C0A80"/>
    <w:multiLevelType w:val="multilevel"/>
    <w:tmpl w:val="7F7C0A80"/>
    <w:lvl w:ilvl="0" w:tentative="0">
      <w:start w:val="1"/>
      <w:numFmt w:val="bullet"/>
      <w:lvlText w:val=""/>
      <w:lvlJc w:val="left"/>
      <w:pPr>
        <w:ind w:left="2412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2832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3252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3672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4092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4512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4932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5352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5772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634ED8"/>
    <w:rsid w:val="0A69025B"/>
    <w:rsid w:val="0AB539B9"/>
    <w:rsid w:val="0B867103"/>
    <w:rsid w:val="0DA26991"/>
    <w:rsid w:val="0ECB4993"/>
    <w:rsid w:val="112A7044"/>
    <w:rsid w:val="123D1FC9"/>
    <w:rsid w:val="12ED5CBA"/>
    <w:rsid w:val="140B63F8"/>
    <w:rsid w:val="14C447F8"/>
    <w:rsid w:val="176F6C9D"/>
    <w:rsid w:val="17936E30"/>
    <w:rsid w:val="18606150"/>
    <w:rsid w:val="19B32EC3"/>
    <w:rsid w:val="1A786886"/>
    <w:rsid w:val="1CC7757C"/>
    <w:rsid w:val="1D5379E4"/>
    <w:rsid w:val="1DC008E5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0C4C94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3204B4A"/>
    <w:rsid w:val="33D53A32"/>
    <w:rsid w:val="34403FA4"/>
    <w:rsid w:val="34DB5F68"/>
    <w:rsid w:val="35912415"/>
    <w:rsid w:val="371778DF"/>
    <w:rsid w:val="37E62326"/>
    <w:rsid w:val="38A511DA"/>
    <w:rsid w:val="39777F08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50DE6FEF"/>
    <w:rsid w:val="513444D8"/>
    <w:rsid w:val="515756D7"/>
    <w:rsid w:val="51CC4711"/>
    <w:rsid w:val="52871060"/>
    <w:rsid w:val="52ED4007"/>
    <w:rsid w:val="53541000"/>
    <w:rsid w:val="54210D44"/>
    <w:rsid w:val="54227B28"/>
    <w:rsid w:val="558C6691"/>
    <w:rsid w:val="55A27C63"/>
    <w:rsid w:val="560F1B9D"/>
    <w:rsid w:val="57BF2D4E"/>
    <w:rsid w:val="58B74CBC"/>
    <w:rsid w:val="598A3C77"/>
    <w:rsid w:val="5B2814D9"/>
    <w:rsid w:val="5D4D1D73"/>
    <w:rsid w:val="5D972077"/>
    <w:rsid w:val="5E8E770E"/>
    <w:rsid w:val="5F14098F"/>
    <w:rsid w:val="613D7393"/>
    <w:rsid w:val="623B7383"/>
    <w:rsid w:val="63166D1A"/>
    <w:rsid w:val="65922BE0"/>
    <w:rsid w:val="65CF770C"/>
    <w:rsid w:val="66252916"/>
    <w:rsid w:val="680622D3"/>
    <w:rsid w:val="6AC87D14"/>
    <w:rsid w:val="6AF27A26"/>
    <w:rsid w:val="6B2D401B"/>
    <w:rsid w:val="6B686E01"/>
    <w:rsid w:val="6C083654"/>
    <w:rsid w:val="6C094604"/>
    <w:rsid w:val="6C300B7A"/>
    <w:rsid w:val="6C751B3B"/>
    <w:rsid w:val="6DC37643"/>
    <w:rsid w:val="6E182D60"/>
    <w:rsid w:val="6E354925"/>
    <w:rsid w:val="6E4A295F"/>
    <w:rsid w:val="6EAE5472"/>
    <w:rsid w:val="6ED924EF"/>
    <w:rsid w:val="70926DFA"/>
    <w:rsid w:val="710B2708"/>
    <w:rsid w:val="724471CD"/>
    <w:rsid w:val="72966949"/>
    <w:rsid w:val="734653CB"/>
    <w:rsid w:val="73A81DCA"/>
    <w:rsid w:val="74963E13"/>
    <w:rsid w:val="7553467E"/>
    <w:rsid w:val="760D37CC"/>
    <w:rsid w:val="79870010"/>
    <w:rsid w:val="79E2018B"/>
    <w:rsid w:val="7AA050A6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2206</Words>
  <Characters>3174</Characters>
  <Lines>61</Lines>
  <Paragraphs>17</Paragraphs>
  <TotalTime>0</TotalTime>
  <ScaleCrop>false</ScaleCrop>
  <LinksUpToDate>false</LinksUpToDate>
  <CharactersWithSpaces>3258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2023-12-07T03:51:46Z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