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hint="default" w:ascii="Times New Roman" w:hAnsi="Times New Roman" w:eastAsia="宋体" w:cs="Times New Roman"/>
          <w:b/>
          <w:color w:val="000000"/>
          <w:sz w:val="30"/>
          <w:szCs w:val="30"/>
        </w:rPr>
      </w:pPr>
      <w:r>
        <w:rPr>
          <w:rFonts w:hint="eastAsia" w:cs="Times New Roman"/>
          <w:b/>
          <w:color w:val="000000"/>
          <w:sz w:val="30"/>
          <w:szCs w:val="30"/>
          <w:lang w:val="en-US" w:eastAsia="zh-CN"/>
        </w:rPr>
        <w:t>北三环高速科教城收费站机电及交安设施建设工程柴油发电机组迁移改造</w:t>
      </w:r>
      <w:r>
        <w:rPr>
          <w:rFonts w:hint="default" w:ascii="Times New Roman" w:hAnsi="Times New Roman" w:eastAsia="宋体" w:cs="Times New Roman"/>
          <w:b/>
          <w:color w:val="000000"/>
          <w:sz w:val="30"/>
          <w:szCs w:val="30"/>
        </w:rPr>
        <w:t>采购意向征集公告</w:t>
      </w:r>
    </w:p>
    <w:p>
      <w:pPr>
        <w:pStyle w:val="2"/>
        <w:rPr>
          <w:rFonts w:hint="default" w:ascii="Times New Roman" w:hAnsi="Times New Roman" w:eastAsia="宋体" w:cs="Times New Roman"/>
          <w:sz w:val="24"/>
          <w:szCs w:val="24"/>
        </w:rPr>
      </w:pP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项目概况</w:t>
      </w:r>
    </w:p>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1.1项目名称：北三环高速科教城收费站机电及交安设施建设工程</w:t>
      </w:r>
    </w:p>
    <w:p>
      <w:p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1.2项目地点：广州市</w:t>
      </w:r>
    </w:p>
    <w:p>
      <w:pPr>
        <w:numPr>
          <w:ilvl w:val="0"/>
          <w:numId w:val="3"/>
        </w:numPr>
        <w:topLinePunct/>
        <w:spacing w:line="360" w:lineRule="auto"/>
        <w:outlineLvl w:val="1"/>
        <w:rPr>
          <w:rFonts w:hint="default" w:ascii="Times New Roman" w:hAnsi="Times New Roman" w:eastAsia="宋体" w:cs="Times New Roman"/>
          <w:b/>
          <w:sz w:val="24"/>
          <w:szCs w:val="24"/>
        </w:rPr>
      </w:pPr>
      <w:r>
        <w:rPr>
          <w:rFonts w:hint="default" w:ascii="Times New Roman" w:hAnsi="Times New Roman" w:eastAsia="宋体" w:cs="Times New Roman"/>
          <w:b/>
          <w:snapToGrid w:val="0"/>
          <w:kern w:val="0"/>
          <w:sz w:val="24"/>
          <w:szCs w:val="24"/>
        </w:rPr>
        <w:t>具体工程量清单</w:t>
      </w:r>
    </w:p>
    <w:tbl>
      <w:tblPr>
        <w:tblStyle w:val="13"/>
        <w:tblW w:w="90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0"/>
        <w:gridCol w:w="2727"/>
        <w:gridCol w:w="817"/>
        <w:gridCol w:w="731"/>
        <w:gridCol w:w="984"/>
        <w:gridCol w:w="26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12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序号</w:t>
            </w:r>
          </w:p>
        </w:tc>
        <w:tc>
          <w:tcPr>
            <w:tcW w:w="272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材料名称</w:t>
            </w:r>
          </w:p>
        </w:tc>
        <w:tc>
          <w:tcPr>
            <w:tcW w:w="81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规格型号</w:t>
            </w:r>
          </w:p>
        </w:tc>
        <w:tc>
          <w:tcPr>
            <w:tcW w:w="73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单位</w:t>
            </w:r>
          </w:p>
        </w:tc>
        <w:tc>
          <w:tcPr>
            <w:tcW w:w="98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数量</w:t>
            </w:r>
          </w:p>
        </w:tc>
        <w:tc>
          <w:tcPr>
            <w:tcW w:w="266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12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802-10-9</w:t>
            </w:r>
          </w:p>
        </w:tc>
        <w:tc>
          <w:tcPr>
            <w:tcW w:w="272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原有柴油发电机迁移安装</w:t>
            </w:r>
          </w:p>
        </w:tc>
        <w:tc>
          <w:tcPr>
            <w:tcW w:w="81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lang w:val="en-US" w:eastAsia="zh-CN"/>
              </w:rPr>
            </w:pPr>
          </w:p>
        </w:tc>
        <w:tc>
          <w:tcPr>
            <w:tcW w:w="73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台</w:t>
            </w:r>
          </w:p>
        </w:tc>
        <w:tc>
          <w:tcPr>
            <w:tcW w:w="98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1</w:t>
            </w:r>
          </w:p>
        </w:tc>
        <w:tc>
          <w:tcPr>
            <w:tcW w:w="266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80KW,迁移距离14Km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12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802-10-10</w:t>
            </w:r>
          </w:p>
        </w:tc>
        <w:tc>
          <w:tcPr>
            <w:tcW w:w="272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柴油发电机组安装附件</w:t>
            </w:r>
          </w:p>
        </w:tc>
        <w:tc>
          <w:tcPr>
            <w:tcW w:w="81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lang w:val="en-US" w:eastAsia="zh-CN"/>
              </w:rPr>
            </w:pPr>
          </w:p>
        </w:tc>
        <w:tc>
          <w:tcPr>
            <w:tcW w:w="73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项</w:t>
            </w:r>
          </w:p>
        </w:tc>
        <w:tc>
          <w:tcPr>
            <w:tcW w:w="98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1</w:t>
            </w:r>
          </w:p>
        </w:tc>
        <w:tc>
          <w:tcPr>
            <w:tcW w:w="266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12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802-10-11</w:t>
            </w:r>
          </w:p>
        </w:tc>
        <w:tc>
          <w:tcPr>
            <w:tcW w:w="272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1立方米不锈钢油箱</w:t>
            </w:r>
          </w:p>
        </w:tc>
        <w:tc>
          <w:tcPr>
            <w:tcW w:w="81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lang w:val="en-US" w:eastAsia="zh-CN"/>
              </w:rPr>
            </w:pPr>
          </w:p>
        </w:tc>
        <w:tc>
          <w:tcPr>
            <w:tcW w:w="73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项</w:t>
            </w:r>
          </w:p>
        </w:tc>
        <w:tc>
          <w:tcPr>
            <w:tcW w:w="98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1</w:t>
            </w:r>
          </w:p>
        </w:tc>
        <w:tc>
          <w:tcPr>
            <w:tcW w:w="266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1立方米不锈钢邮箱及油泵、油路不锈钢管道等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12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802-10-12</w:t>
            </w:r>
          </w:p>
        </w:tc>
        <w:tc>
          <w:tcPr>
            <w:tcW w:w="272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发电机房进、出风口改造</w:t>
            </w:r>
          </w:p>
        </w:tc>
        <w:tc>
          <w:tcPr>
            <w:tcW w:w="81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lang w:val="en-US" w:eastAsia="zh-CN"/>
              </w:rPr>
            </w:pPr>
          </w:p>
        </w:tc>
        <w:tc>
          <w:tcPr>
            <w:tcW w:w="73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项</w:t>
            </w:r>
          </w:p>
        </w:tc>
        <w:tc>
          <w:tcPr>
            <w:tcW w:w="98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1</w:t>
            </w:r>
          </w:p>
        </w:tc>
        <w:tc>
          <w:tcPr>
            <w:tcW w:w="266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发电机房进、出风口开孔，防虫鼠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12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802-10-18</w:t>
            </w:r>
          </w:p>
        </w:tc>
        <w:tc>
          <w:tcPr>
            <w:tcW w:w="272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发电机房降噪</w:t>
            </w:r>
          </w:p>
        </w:tc>
        <w:tc>
          <w:tcPr>
            <w:tcW w:w="81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lang w:val="en-US" w:eastAsia="zh-CN"/>
              </w:rPr>
            </w:pPr>
          </w:p>
        </w:tc>
        <w:tc>
          <w:tcPr>
            <w:tcW w:w="73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项</w:t>
            </w:r>
          </w:p>
        </w:tc>
        <w:tc>
          <w:tcPr>
            <w:tcW w:w="98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1</w:t>
            </w:r>
          </w:p>
        </w:tc>
        <w:tc>
          <w:tcPr>
            <w:tcW w:w="266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lang w:val="en-US" w:eastAsia="zh-CN"/>
              </w:rPr>
            </w:pPr>
          </w:p>
        </w:tc>
      </w:tr>
    </w:tbl>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清单说明：</w:t>
      </w:r>
    </w:p>
    <w:p>
      <w:pPr>
        <w:numPr>
          <w:ilvl w:val="0"/>
          <w:numId w:val="4"/>
        </w:num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包括运输、保险费、税费、试运行及缺陷的维护等一切费用；</w:t>
      </w:r>
    </w:p>
    <w:p>
      <w:pPr>
        <w:pStyle w:val="8"/>
        <w:numPr>
          <w:ilvl w:val="0"/>
          <w:numId w:val="4"/>
        </w:numPr>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最高限价：</w:t>
      </w:r>
      <w:r>
        <w:rPr>
          <w:rFonts w:hint="eastAsia" w:cs="Times New Roman"/>
          <w:bCs/>
          <w:snapToGrid w:val="0"/>
          <w:kern w:val="0"/>
          <w:sz w:val="24"/>
          <w:szCs w:val="24"/>
          <w:lang w:val="en-US" w:eastAsia="zh-CN"/>
        </w:rPr>
        <w:t xml:space="preserve">46000.00 </w:t>
      </w:r>
      <w:bookmarkStart w:id="3" w:name="_GoBack"/>
      <w:bookmarkEnd w:id="3"/>
      <w:r>
        <w:rPr>
          <w:rFonts w:hint="default" w:ascii="Times New Roman" w:hAnsi="Times New Roman" w:eastAsia="宋体" w:cs="Times New Roman"/>
          <w:bCs/>
          <w:snapToGrid w:val="0"/>
          <w:kern w:val="0"/>
          <w:sz w:val="24"/>
          <w:szCs w:val="24"/>
        </w:rPr>
        <w:t>元。</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eastAsia" w:cs="Times New Roman"/>
          <w:b/>
          <w:snapToGrid w:val="0"/>
          <w:kern w:val="0"/>
          <w:sz w:val="24"/>
          <w:szCs w:val="24"/>
          <w:lang w:val="en-US" w:eastAsia="zh-CN"/>
        </w:rPr>
        <w:t>技术参数</w:t>
      </w:r>
    </w:p>
    <w:p>
      <w:pPr>
        <w:numPr>
          <w:ilvl w:val="0"/>
          <w:numId w:val="0"/>
        </w:numPr>
        <w:topLinePunct/>
        <w:spacing w:line="360" w:lineRule="auto"/>
        <w:outlineLvl w:val="1"/>
        <w:rPr>
          <w:rFonts w:hint="eastAsia" w:ascii="Times New Roman" w:hAnsi="Times New Roman" w:eastAsia="宋体" w:cs="Times New Roman"/>
          <w:b/>
          <w:bCs/>
          <w:kern w:val="2"/>
          <w:sz w:val="24"/>
          <w:szCs w:val="24"/>
          <w:lang w:val="en-US" w:eastAsia="zh-CN" w:bidi="ar-SA"/>
        </w:rPr>
      </w:pPr>
      <w:r>
        <w:rPr>
          <w:rFonts w:hint="eastAsia" w:ascii="Times New Roman" w:hAnsi="Times New Roman" w:eastAsia="宋体" w:cs="Times New Roman"/>
          <w:b/>
          <w:bCs/>
          <w:kern w:val="2"/>
          <w:sz w:val="24"/>
          <w:szCs w:val="24"/>
          <w:lang w:val="en-US" w:eastAsia="zh-CN" w:bidi="ar-SA"/>
        </w:rPr>
        <w:t>802-10-9 原有柴油发电机迁移安装 80KW</w:t>
      </w:r>
    </w:p>
    <w:p>
      <w:pPr>
        <w:numPr>
          <w:ilvl w:val="0"/>
          <w:numId w:val="0"/>
        </w:numPr>
        <w:topLinePunct/>
        <w:spacing w:line="360" w:lineRule="auto"/>
        <w:outlineLvl w:val="1"/>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包括原有柴油发电机组拆除、移动、装车、迁移、基础、安装调试等。</w:t>
      </w:r>
    </w:p>
    <w:p>
      <w:pPr>
        <w:numPr>
          <w:ilvl w:val="0"/>
          <w:numId w:val="0"/>
        </w:numPr>
        <w:topLinePunct/>
        <w:spacing w:line="360" w:lineRule="auto"/>
        <w:outlineLvl w:val="1"/>
        <w:rPr>
          <w:rFonts w:hint="eastAsia" w:ascii="Times New Roman" w:hAnsi="Times New Roman" w:eastAsia="宋体" w:cs="Times New Roman"/>
          <w:b/>
          <w:bCs/>
          <w:kern w:val="2"/>
          <w:sz w:val="24"/>
          <w:szCs w:val="24"/>
          <w:lang w:val="en-US" w:eastAsia="zh-CN" w:bidi="ar-SA"/>
        </w:rPr>
      </w:pPr>
      <w:r>
        <w:rPr>
          <w:rFonts w:hint="eastAsia" w:ascii="Times New Roman" w:hAnsi="Times New Roman" w:eastAsia="宋体" w:cs="Times New Roman"/>
          <w:b/>
          <w:bCs/>
          <w:kern w:val="2"/>
          <w:sz w:val="24"/>
          <w:szCs w:val="24"/>
          <w:lang w:val="en-US" w:eastAsia="zh-CN" w:bidi="ar-SA"/>
        </w:rPr>
        <w:t>802-10-10 柴油发电机组安装附件</w:t>
      </w:r>
    </w:p>
    <w:p>
      <w:pPr>
        <w:numPr>
          <w:ilvl w:val="0"/>
          <w:numId w:val="0"/>
        </w:numPr>
        <w:topLinePunct/>
        <w:spacing w:line="360" w:lineRule="auto"/>
        <w:outlineLvl w:val="1"/>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柴油发电机安装附件，主要指除发电机组的油机、发电机、钢材底架之外的所有</w:t>
      </w:r>
    </w:p>
    <w:p>
      <w:pPr>
        <w:numPr>
          <w:ilvl w:val="0"/>
          <w:numId w:val="0"/>
        </w:numPr>
        <w:topLinePunct/>
        <w:spacing w:line="360" w:lineRule="auto"/>
        <w:outlineLvl w:val="1"/>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配件，包括控制器（带现场显示）、油箱及油泵、油路不锈钢管道、蓄电池组及其连接线、排风排烟以及保证发电机组正常工作的其它所有配件及其安装等。</w:t>
      </w:r>
    </w:p>
    <w:p>
      <w:pPr>
        <w:numPr>
          <w:ilvl w:val="0"/>
          <w:numId w:val="0"/>
        </w:numPr>
        <w:topLinePunct/>
        <w:spacing w:line="360" w:lineRule="auto"/>
        <w:outlineLvl w:val="1"/>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控制器：柴油发电机组启动运行、监测、控制和继电保护由智能型控制系统、标</w:t>
      </w:r>
    </w:p>
    <w:p>
      <w:pPr>
        <w:numPr>
          <w:ilvl w:val="0"/>
          <w:numId w:val="0"/>
        </w:numPr>
        <w:topLinePunct/>
        <w:spacing w:line="360" w:lineRule="auto"/>
        <w:outlineLvl w:val="1"/>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准控制盘和机电参数数字显示屏等完成。</w:t>
      </w:r>
    </w:p>
    <w:p>
      <w:pPr>
        <w:numPr>
          <w:ilvl w:val="0"/>
          <w:numId w:val="0"/>
        </w:numPr>
        <w:topLinePunct/>
        <w:spacing w:line="360" w:lineRule="auto"/>
        <w:outlineLvl w:val="1"/>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蓄电池组：对发电机适配合适的蓄电池组，应满足柴油发电机组启动 15 次的要</w:t>
      </w:r>
    </w:p>
    <w:p>
      <w:pPr>
        <w:numPr>
          <w:ilvl w:val="0"/>
          <w:numId w:val="0"/>
        </w:numPr>
        <w:topLinePunct/>
        <w:spacing w:line="360" w:lineRule="auto"/>
        <w:outlineLvl w:val="1"/>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求；且蓄电池组应从发电机房内的市电系统取得浮充电源并保持不间断供电，相关取电线缆、管道等附件包含在柴油发电机组安装附件中，不单独计量。</w:t>
      </w:r>
    </w:p>
    <w:p>
      <w:pPr>
        <w:pStyle w:val="2"/>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cs="Times New Roman"/>
          <w:b/>
          <w:bCs/>
          <w:spacing w:val="0"/>
          <w:kern w:val="2"/>
          <w:sz w:val="24"/>
          <w:szCs w:val="24"/>
          <w:lang w:val="en-US" w:eastAsia="zh-CN" w:bidi="ar-SA"/>
        </w:rPr>
      </w:pPr>
      <w:r>
        <w:rPr>
          <w:rFonts w:hint="eastAsia" w:ascii="Times New Roman" w:hAnsi="Times New Roman" w:eastAsia="宋体" w:cs="Times New Roman"/>
          <w:b/>
          <w:bCs/>
          <w:spacing w:val="0"/>
          <w:kern w:val="2"/>
          <w:sz w:val="24"/>
          <w:szCs w:val="24"/>
          <w:lang w:val="en-US" w:eastAsia="zh-CN" w:bidi="ar-SA"/>
        </w:rPr>
        <w:t>802-10-11 1立方米不锈钢油箱</w:t>
      </w:r>
    </w:p>
    <w:p>
      <w:pPr>
        <w:pStyle w:val="2"/>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Times New Roman" w:hAnsi="Times New Roman" w:eastAsia="宋体" w:cs="Times New Roman"/>
          <w:spacing w:val="0"/>
          <w:kern w:val="2"/>
          <w:sz w:val="24"/>
          <w:szCs w:val="24"/>
          <w:lang w:val="en-US" w:eastAsia="zh-CN" w:bidi="ar-SA"/>
        </w:rPr>
      </w:pPr>
      <w:r>
        <w:rPr>
          <w:rFonts w:hint="eastAsia" w:ascii="Times New Roman" w:hAnsi="Times New Roman" w:eastAsia="宋体" w:cs="Times New Roman"/>
          <w:spacing w:val="0"/>
          <w:kern w:val="2"/>
          <w:sz w:val="24"/>
          <w:szCs w:val="24"/>
          <w:lang w:val="en-US" w:eastAsia="zh-CN" w:bidi="ar-SA"/>
        </w:rPr>
        <w:t>1立方米不锈钢邮箱及油泵、油路不锈钢管道等</w:t>
      </w:r>
    </w:p>
    <w:p>
      <w:pPr>
        <w:numPr>
          <w:ilvl w:val="0"/>
          <w:numId w:val="0"/>
        </w:numPr>
        <w:topLinePunct/>
        <w:spacing w:line="360" w:lineRule="auto"/>
        <w:outlineLvl w:val="1"/>
        <w:rPr>
          <w:rFonts w:hint="default" w:ascii="Times New Roman" w:hAnsi="Times New Roman" w:eastAsia="宋体" w:cs="Times New Roman"/>
          <w:b/>
          <w:bCs/>
          <w:kern w:val="2"/>
          <w:sz w:val="24"/>
          <w:szCs w:val="24"/>
          <w:lang w:val="en-US" w:eastAsia="zh-CN" w:bidi="ar-SA"/>
        </w:rPr>
      </w:pPr>
      <w:r>
        <w:rPr>
          <w:rFonts w:hint="default" w:ascii="Times New Roman" w:hAnsi="Times New Roman" w:eastAsia="宋体" w:cs="Times New Roman"/>
          <w:b/>
          <w:bCs/>
          <w:kern w:val="2"/>
          <w:sz w:val="24"/>
          <w:szCs w:val="24"/>
          <w:lang w:val="en-US" w:eastAsia="zh-CN" w:bidi="ar-SA"/>
        </w:rPr>
        <w:t>802-10-1</w:t>
      </w:r>
      <w:r>
        <w:rPr>
          <w:rFonts w:hint="eastAsia" w:cs="Times New Roman"/>
          <w:b/>
          <w:bCs/>
          <w:kern w:val="2"/>
          <w:sz w:val="24"/>
          <w:szCs w:val="24"/>
          <w:lang w:val="en-US" w:eastAsia="zh-CN" w:bidi="ar-SA"/>
        </w:rPr>
        <w:t>2</w:t>
      </w:r>
      <w:r>
        <w:rPr>
          <w:rFonts w:hint="default" w:ascii="Times New Roman" w:hAnsi="Times New Roman" w:eastAsia="宋体" w:cs="Times New Roman"/>
          <w:b/>
          <w:bCs/>
          <w:kern w:val="2"/>
          <w:sz w:val="24"/>
          <w:szCs w:val="24"/>
          <w:lang w:val="en-US" w:eastAsia="zh-CN" w:bidi="ar-SA"/>
        </w:rPr>
        <w:t xml:space="preserve"> 发电机房进、出风口改造</w:t>
      </w:r>
    </w:p>
    <w:p>
      <w:pPr>
        <w:numPr>
          <w:ilvl w:val="0"/>
          <w:numId w:val="0"/>
        </w:numPr>
        <w:topLinePunct/>
        <w:spacing w:line="360" w:lineRule="auto"/>
        <w:outlineLvl w:val="1"/>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 对发电机房原进风口、出风口进行改造，适合发电机组使用。</w:t>
      </w:r>
    </w:p>
    <w:p>
      <w:pPr>
        <w:numPr>
          <w:ilvl w:val="0"/>
          <w:numId w:val="0"/>
        </w:numPr>
        <w:topLinePunct/>
        <w:spacing w:line="360" w:lineRule="auto"/>
        <w:outlineLvl w:val="1"/>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 包含开洞及相关设施安装好墙洞的封堵及美化工作。</w:t>
      </w:r>
    </w:p>
    <w:p>
      <w:pPr>
        <w:numPr>
          <w:ilvl w:val="0"/>
          <w:numId w:val="0"/>
        </w:numPr>
        <w:topLinePunct/>
        <w:spacing w:line="360" w:lineRule="auto"/>
        <w:outlineLvl w:val="1"/>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 安装强制进排风道及散热风道，及时补充发电机工作所需空气，并将机房内</w:t>
      </w:r>
    </w:p>
    <w:p>
      <w:pPr>
        <w:numPr>
          <w:ilvl w:val="0"/>
          <w:numId w:val="0"/>
        </w:numPr>
        <w:topLinePunct/>
        <w:spacing w:line="360" w:lineRule="auto"/>
        <w:outlineLvl w:val="1"/>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高温气体及时排走，改善发电机工作环境，延长使用寿命。</w:t>
      </w:r>
    </w:p>
    <w:p>
      <w:pPr>
        <w:pStyle w:val="2"/>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cs="Times New Roman"/>
          <w:b/>
          <w:bCs/>
          <w:spacing w:val="0"/>
          <w:kern w:val="2"/>
          <w:sz w:val="24"/>
          <w:szCs w:val="24"/>
          <w:lang w:val="en-US" w:eastAsia="zh-CN" w:bidi="ar-SA"/>
        </w:rPr>
      </w:pPr>
      <w:r>
        <w:rPr>
          <w:rFonts w:hint="default" w:ascii="Times New Roman" w:hAnsi="Times New Roman" w:eastAsia="宋体" w:cs="Times New Roman"/>
          <w:b/>
          <w:bCs/>
          <w:spacing w:val="0"/>
          <w:kern w:val="2"/>
          <w:sz w:val="24"/>
          <w:szCs w:val="24"/>
          <w:lang w:val="en-US" w:eastAsia="zh-CN" w:bidi="ar-SA"/>
        </w:rPr>
        <w:t>802-10-1</w:t>
      </w:r>
      <w:r>
        <w:rPr>
          <w:rFonts w:hint="eastAsia" w:ascii="Times New Roman" w:hAnsi="Times New Roman" w:eastAsia="宋体" w:cs="Times New Roman"/>
          <w:b/>
          <w:bCs/>
          <w:spacing w:val="0"/>
          <w:kern w:val="2"/>
          <w:sz w:val="24"/>
          <w:szCs w:val="24"/>
          <w:lang w:val="en-US" w:eastAsia="zh-CN" w:bidi="ar-SA"/>
        </w:rPr>
        <w:t>8</w:t>
      </w:r>
      <w:r>
        <w:rPr>
          <w:rFonts w:hint="default" w:ascii="Times New Roman" w:hAnsi="Times New Roman" w:eastAsia="宋体" w:cs="Times New Roman"/>
          <w:b/>
          <w:bCs/>
          <w:spacing w:val="0"/>
          <w:kern w:val="2"/>
          <w:sz w:val="24"/>
          <w:szCs w:val="24"/>
          <w:lang w:val="en-US" w:eastAsia="zh-CN" w:bidi="ar-SA"/>
        </w:rPr>
        <w:t xml:space="preserve"> 发电机房降噪</w:t>
      </w:r>
    </w:p>
    <w:p>
      <w:pPr>
        <w:pStyle w:val="2"/>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cs="Times New Roman"/>
          <w:spacing w:val="0"/>
          <w:kern w:val="2"/>
          <w:sz w:val="24"/>
          <w:szCs w:val="24"/>
          <w:lang w:val="en-US" w:eastAsia="zh-CN" w:bidi="ar-SA"/>
        </w:rPr>
      </w:pPr>
      <w:r>
        <w:rPr>
          <w:rFonts w:hint="default" w:ascii="Times New Roman" w:hAnsi="Times New Roman" w:eastAsia="宋体" w:cs="Times New Roman"/>
          <w:spacing w:val="0"/>
          <w:kern w:val="2"/>
          <w:sz w:val="24"/>
          <w:szCs w:val="24"/>
          <w:lang w:val="en-US" w:eastAsia="zh-CN" w:bidi="ar-SA"/>
        </w:rPr>
        <w:t>- 安装强制进排风道及散热风道，及时补充发电机工作所需空气，并将机房内</w:t>
      </w:r>
    </w:p>
    <w:p>
      <w:pPr>
        <w:pStyle w:val="2"/>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cs="Times New Roman"/>
          <w:spacing w:val="0"/>
          <w:kern w:val="2"/>
          <w:sz w:val="24"/>
          <w:szCs w:val="24"/>
          <w:lang w:val="en-US" w:eastAsia="zh-CN" w:bidi="ar-SA"/>
        </w:rPr>
      </w:pPr>
      <w:r>
        <w:rPr>
          <w:rFonts w:hint="default" w:ascii="Times New Roman" w:hAnsi="Times New Roman" w:eastAsia="宋体" w:cs="Times New Roman"/>
          <w:spacing w:val="0"/>
          <w:kern w:val="2"/>
          <w:sz w:val="24"/>
          <w:szCs w:val="24"/>
          <w:lang w:val="en-US" w:eastAsia="zh-CN" w:bidi="ar-SA"/>
        </w:rPr>
        <w:t>高温气体及时排走，改善发电机工作环境，延长使用寿命。</w:t>
      </w:r>
    </w:p>
    <w:p>
      <w:pPr>
        <w:pStyle w:val="2"/>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cs="Times New Roman"/>
          <w:spacing w:val="0"/>
          <w:kern w:val="2"/>
          <w:sz w:val="24"/>
          <w:szCs w:val="24"/>
          <w:lang w:val="en-US" w:eastAsia="zh-CN" w:bidi="ar-SA"/>
        </w:rPr>
      </w:pPr>
      <w:r>
        <w:rPr>
          <w:rFonts w:hint="default" w:ascii="Times New Roman" w:hAnsi="Times New Roman" w:eastAsia="宋体" w:cs="Times New Roman"/>
          <w:spacing w:val="0"/>
          <w:kern w:val="2"/>
          <w:sz w:val="24"/>
          <w:szCs w:val="24"/>
          <w:lang w:val="en-US" w:eastAsia="zh-CN" w:bidi="ar-SA"/>
        </w:rPr>
        <w:t>- 柴油发电机组进风、散热排风道内应加装消音片，排烟管上应加装二级消音</w:t>
      </w:r>
    </w:p>
    <w:p>
      <w:pPr>
        <w:pStyle w:val="2"/>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cs="Times New Roman"/>
          <w:spacing w:val="0"/>
          <w:kern w:val="2"/>
          <w:sz w:val="24"/>
          <w:szCs w:val="24"/>
          <w:lang w:val="en-US" w:eastAsia="zh-CN" w:bidi="ar-SA"/>
        </w:rPr>
      </w:pPr>
      <w:r>
        <w:rPr>
          <w:rFonts w:hint="default" w:ascii="Times New Roman" w:hAnsi="Times New Roman" w:eastAsia="宋体" w:cs="Times New Roman"/>
          <w:spacing w:val="0"/>
          <w:kern w:val="2"/>
          <w:sz w:val="24"/>
          <w:szCs w:val="24"/>
          <w:lang w:val="en-US" w:eastAsia="zh-CN" w:bidi="ar-SA"/>
        </w:rPr>
        <w:t>器， 此部分包含在发电机组安装附件综合报价内，不单独计价。</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供应商资格条件</w:t>
      </w:r>
    </w:p>
    <w:p>
      <w:pPr>
        <w:pStyle w:val="8"/>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信用信誉良好，所供设备符合本工程量清单设备技术要求。</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响应回执的递交</w:t>
      </w:r>
    </w:p>
    <w:p>
      <w:pPr>
        <w:spacing w:line="360" w:lineRule="auto"/>
        <w:ind w:firstLine="480" w:firstLineChars="200"/>
        <w:rPr>
          <w:rFonts w:hint="default" w:ascii="Times New Roman" w:hAnsi="Times New Roman" w:eastAsia="宋体" w:cs="Times New Roman"/>
          <w:snapToGrid w:val="0"/>
          <w:color w:val="000000"/>
          <w:kern w:val="0"/>
          <w:sz w:val="24"/>
          <w:szCs w:val="24"/>
        </w:rPr>
      </w:pPr>
      <w:r>
        <w:rPr>
          <w:rFonts w:hint="default" w:ascii="Times New Roman" w:hAnsi="Times New Roman" w:eastAsia="宋体" w:cs="Times New Roman"/>
          <w:sz w:val="24"/>
          <w:szCs w:val="24"/>
        </w:rPr>
        <w:t>凡有意参加本次采购且具备履行本项目能力的供应商，请</w:t>
      </w:r>
      <w:r>
        <w:rPr>
          <w:rFonts w:hint="default" w:ascii="Times New Roman" w:hAnsi="Times New Roman" w:eastAsia="宋体" w:cs="Times New Roman"/>
          <w:color w:val="000000"/>
          <w:sz w:val="24"/>
          <w:szCs w:val="24"/>
        </w:rPr>
        <w:t>将附于本公告后的响应回执在</w:t>
      </w:r>
      <w:r>
        <w:rPr>
          <w:rFonts w:hint="default" w:ascii="Times New Roman" w:hAnsi="Times New Roman" w:eastAsia="宋体" w:cs="Times New Roman"/>
          <w:color w:val="000000"/>
          <w:sz w:val="24"/>
          <w:szCs w:val="24"/>
          <w:u w:val="single"/>
        </w:rPr>
        <w:t>2023年</w:t>
      </w:r>
      <w:r>
        <w:rPr>
          <w:rFonts w:hint="eastAsia" w:cs="Times New Roman"/>
          <w:color w:val="000000"/>
          <w:sz w:val="24"/>
          <w:szCs w:val="24"/>
          <w:u w:val="single"/>
          <w:lang w:val="en-US" w:eastAsia="zh-CN"/>
        </w:rPr>
        <w:t>12</w:t>
      </w:r>
      <w:r>
        <w:rPr>
          <w:rFonts w:hint="default" w:ascii="Times New Roman" w:hAnsi="Times New Roman" w:eastAsia="宋体" w:cs="Times New Roman"/>
          <w:color w:val="000000"/>
          <w:sz w:val="24"/>
          <w:szCs w:val="24"/>
          <w:u w:val="single"/>
        </w:rPr>
        <w:t>月</w:t>
      </w:r>
      <w:r>
        <w:rPr>
          <w:rFonts w:hint="eastAsia" w:cs="Times New Roman"/>
          <w:color w:val="000000"/>
          <w:sz w:val="24"/>
          <w:szCs w:val="24"/>
          <w:u w:val="single"/>
          <w:lang w:val="en-US" w:eastAsia="zh-CN"/>
        </w:rPr>
        <w:t>10</w:t>
      </w:r>
      <w:r>
        <w:rPr>
          <w:rFonts w:hint="default" w:ascii="Times New Roman" w:hAnsi="Times New Roman" w:eastAsia="宋体" w:cs="Times New Roman"/>
          <w:color w:val="000000"/>
          <w:sz w:val="24"/>
          <w:szCs w:val="24"/>
          <w:u w:val="single"/>
        </w:rPr>
        <w:t>日</w:t>
      </w:r>
      <w:r>
        <w:rPr>
          <w:rFonts w:hint="eastAsia" w:cs="Times New Roman"/>
          <w:color w:val="000000"/>
          <w:sz w:val="24"/>
          <w:szCs w:val="24"/>
          <w:u w:val="single"/>
          <w:lang w:val="en-US" w:eastAsia="zh-CN"/>
        </w:rPr>
        <w:t>16</w:t>
      </w:r>
      <w:r>
        <w:rPr>
          <w:rFonts w:hint="default" w:ascii="Times New Roman" w:hAnsi="Times New Roman" w:eastAsia="宋体" w:cs="Times New Roman"/>
          <w:color w:val="000000"/>
          <w:sz w:val="24"/>
          <w:szCs w:val="24"/>
          <w:u w:val="single"/>
        </w:rPr>
        <w:t>：00</w:t>
      </w:r>
      <w:r>
        <w:rPr>
          <w:rFonts w:hint="default" w:ascii="Times New Roman" w:hAnsi="Times New Roman" w:eastAsia="宋体" w:cs="Times New Roman"/>
          <w:color w:val="000000"/>
          <w:sz w:val="24"/>
          <w:szCs w:val="24"/>
        </w:rPr>
        <w:t>之前发送至采购人邮箱：</w:t>
      </w:r>
      <w:r>
        <w:rPr>
          <w:rFonts w:hint="eastAsia" w:cs="Times New Roman"/>
          <w:color w:val="000000"/>
          <w:sz w:val="24"/>
          <w:szCs w:val="24"/>
          <w:lang w:val="en-US" w:eastAsia="zh-CN"/>
        </w:rPr>
        <w:t>1263635487</w:t>
      </w:r>
      <w:r>
        <w:rPr>
          <w:rFonts w:hint="default" w:ascii="Times New Roman" w:hAnsi="Times New Roman" w:eastAsia="宋体" w:cs="Times New Roman"/>
          <w:snapToGrid w:val="0"/>
          <w:color w:val="000000"/>
          <w:kern w:val="0"/>
          <w:sz w:val="24"/>
          <w:szCs w:val="24"/>
        </w:rPr>
        <w:t>@</w:t>
      </w:r>
      <w:r>
        <w:rPr>
          <w:rFonts w:hint="eastAsia" w:cs="Times New Roman"/>
          <w:snapToGrid w:val="0"/>
          <w:color w:val="000000"/>
          <w:kern w:val="0"/>
          <w:sz w:val="24"/>
          <w:szCs w:val="24"/>
          <w:lang w:val="en-US" w:eastAsia="zh-CN"/>
        </w:rPr>
        <w:t>qq</w:t>
      </w:r>
      <w:r>
        <w:rPr>
          <w:rFonts w:hint="default" w:ascii="Times New Roman" w:hAnsi="Times New Roman" w:eastAsia="宋体" w:cs="Times New Roman"/>
          <w:snapToGrid w:val="0"/>
          <w:color w:val="000000"/>
          <w:kern w:val="0"/>
          <w:sz w:val="24"/>
          <w:szCs w:val="24"/>
        </w:rPr>
        <w:t>.com，逾期无效</w:t>
      </w:r>
      <w:r>
        <w:rPr>
          <w:rFonts w:hint="eastAsia" w:cs="Times New Roman"/>
          <w:snapToGrid w:val="0"/>
          <w:color w:val="000000"/>
          <w:kern w:val="0"/>
          <w:sz w:val="24"/>
          <w:szCs w:val="24"/>
          <w:lang w:eastAsia="zh-CN"/>
        </w:rPr>
        <w:t>，</w:t>
      </w:r>
      <w:r>
        <w:rPr>
          <w:rFonts w:hint="eastAsia"/>
          <w:snapToGrid w:val="0"/>
          <w:color w:val="000000"/>
          <w:kern w:val="0"/>
          <w:sz w:val="24"/>
          <w:lang w:val="en-US" w:eastAsia="zh-CN"/>
        </w:rPr>
        <w:t>回执命名“</w:t>
      </w:r>
      <w:r>
        <w:rPr>
          <w:rFonts w:hint="eastAsia"/>
          <w:snapToGrid w:val="0"/>
          <w:color w:val="FF0000"/>
          <w:kern w:val="0"/>
          <w:sz w:val="24"/>
          <w:lang w:val="en-US" w:eastAsia="zh-CN"/>
        </w:rPr>
        <w:t>XX</w:t>
      </w:r>
      <w:r>
        <w:rPr>
          <w:rFonts w:hint="eastAsia" w:eastAsia="宋体"/>
          <w:snapToGrid w:val="0"/>
          <w:color w:val="FF0000"/>
          <w:kern w:val="0"/>
          <w:sz w:val="24"/>
          <w:lang w:val="en-US" w:eastAsia="zh-CN"/>
        </w:rPr>
        <w:t>项目</w:t>
      </w:r>
      <w:r>
        <w:rPr>
          <w:rFonts w:hint="eastAsia"/>
          <w:snapToGrid w:val="0"/>
          <w:color w:val="FF0000"/>
          <w:kern w:val="0"/>
          <w:sz w:val="24"/>
          <w:lang w:val="en-US" w:eastAsia="zh-CN"/>
        </w:rPr>
        <w:t>xx采购xx供应商响应回执</w:t>
      </w:r>
      <w:r>
        <w:rPr>
          <w:rFonts w:hint="eastAsia"/>
          <w:snapToGrid w:val="0"/>
          <w:color w:val="000000"/>
          <w:kern w:val="0"/>
          <w:sz w:val="24"/>
          <w:lang w:val="en-US" w:eastAsia="zh-CN"/>
        </w:rPr>
        <w:t>”</w:t>
      </w:r>
      <w:r>
        <w:rPr>
          <w:rFonts w:hint="default" w:ascii="Times New Roman" w:hAnsi="Times New Roman" w:eastAsia="宋体" w:cs="Times New Roman"/>
          <w:snapToGrid w:val="0"/>
          <w:color w:val="000000"/>
          <w:kern w:val="0"/>
          <w:sz w:val="24"/>
          <w:szCs w:val="24"/>
        </w:rPr>
        <w:t>。采购人在收到响应回执后根据供应商信用信誉等情况进行讨论提议，不再另行发布采购公告。</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bookmarkStart w:id="0" w:name="_Toc332793818"/>
      <w:bookmarkStart w:id="1" w:name="_Toc332965960"/>
      <w:bookmarkStart w:id="2" w:name="_Toc332793891"/>
      <w:r>
        <w:rPr>
          <w:rFonts w:hint="default" w:ascii="Times New Roman" w:hAnsi="Times New Roman" w:eastAsia="宋体" w:cs="Times New Roman"/>
          <w:b/>
          <w:snapToGrid w:val="0"/>
          <w:kern w:val="0"/>
          <w:sz w:val="24"/>
          <w:szCs w:val="24"/>
        </w:rPr>
        <w:t>联系方式</w:t>
      </w:r>
      <w:bookmarkEnd w:id="0"/>
      <w:bookmarkEnd w:id="1"/>
      <w:bookmarkEnd w:id="2"/>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采购人：广东诚泰交通科技发展有限公司</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采购人地址：广州市番禺区洛浦街道北环路87号道路研究院</w:t>
      </w:r>
      <w:r>
        <w:rPr>
          <w:rFonts w:hint="default" w:ascii="Times New Roman" w:hAnsi="Times New Roman" w:eastAsia="宋体" w:cs="Times New Roman"/>
          <w:color w:val="000000"/>
          <w:sz w:val="24"/>
          <w:szCs w:val="24"/>
          <w:lang w:val="en-US" w:eastAsia="zh-CN"/>
        </w:rPr>
        <w:t>有限公司</w:t>
      </w:r>
      <w:r>
        <w:rPr>
          <w:rFonts w:hint="default" w:ascii="Times New Roman" w:hAnsi="Times New Roman" w:eastAsia="宋体" w:cs="Times New Roman"/>
          <w:color w:val="000000"/>
          <w:sz w:val="24"/>
          <w:szCs w:val="24"/>
        </w:rPr>
        <w:t>二号楼</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联  系  人：</w:t>
      </w:r>
      <w:r>
        <w:rPr>
          <w:rFonts w:hint="eastAsia" w:cs="Times New Roman"/>
          <w:color w:val="000000"/>
          <w:sz w:val="24"/>
          <w:szCs w:val="24"/>
          <w:lang w:val="en-US" w:eastAsia="zh-CN"/>
        </w:rPr>
        <w:t>梁</w:t>
      </w:r>
      <w:r>
        <w:rPr>
          <w:rFonts w:hint="default" w:ascii="Times New Roman" w:hAnsi="Times New Roman" w:eastAsia="宋体" w:cs="Times New Roman"/>
          <w:color w:val="000000"/>
          <w:sz w:val="24"/>
          <w:szCs w:val="24"/>
        </w:rPr>
        <w:t>工</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电      话：020-39185740</w:t>
      </w:r>
    </w:p>
    <w:p>
      <w:pPr>
        <w:topLinePunct/>
        <w:spacing w:line="360" w:lineRule="auto"/>
        <w:jc w:val="right"/>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广东诚泰交通科技发展有限公司</w:t>
      </w:r>
    </w:p>
    <w:p>
      <w:pPr>
        <w:topLinePunct/>
        <w:spacing w:line="360" w:lineRule="auto"/>
        <w:jc w:val="center"/>
        <w:rPr>
          <w:rFonts w:hint="default" w:ascii="Times New Roman" w:hAnsi="Times New Roman" w:eastAsia="宋体" w:cs="Times New Roman"/>
          <w:sz w:val="24"/>
          <w:szCs w:val="24"/>
        </w:rPr>
      </w:pPr>
      <w:r>
        <w:rPr>
          <w:rFonts w:hint="default" w:ascii="Times New Roman" w:hAnsi="Times New Roman" w:eastAsia="宋体" w:cs="Times New Roman"/>
          <w:color w:val="000000"/>
          <w:sz w:val="24"/>
          <w:szCs w:val="24"/>
        </w:rPr>
        <w:t xml:space="preserve">                                              2023年</w:t>
      </w:r>
      <w:r>
        <w:rPr>
          <w:rFonts w:hint="eastAsia" w:cs="Times New Roman"/>
          <w:color w:val="000000"/>
          <w:sz w:val="24"/>
          <w:szCs w:val="24"/>
          <w:lang w:val="en-US" w:eastAsia="zh-CN"/>
        </w:rPr>
        <w:t>12</w:t>
      </w:r>
      <w:r>
        <w:rPr>
          <w:rFonts w:hint="default" w:ascii="Times New Roman" w:hAnsi="Times New Roman" w:eastAsia="宋体" w:cs="Times New Roman"/>
          <w:color w:val="000000"/>
          <w:sz w:val="24"/>
          <w:szCs w:val="24"/>
        </w:rPr>
        <w:t>月</w:t>
      </w:r>
      <w:r>
        <w:rPr>
          <w:rFonts w:hint="eastAsia" w:cs="Times New Roman"/>
          <w:color w:val="000000"/>
          <w:sz w:val="24"/>
          <w:szCs w:val="24"/>
          <w:lang w:val="en-US" w:eastAsia="zh-CN"/>
        </w:rPr>
        <w:t>7</w:t>
      </w:r>
      <w:r>
        <w:rPr>
          <w:rFonts w:hint="default" w:ascii="Times New Roman" w:hAnsi="Times New Roman" w:eastAsia="宋体" w:cs="Times New Roman"/>
          <w:color w:val="000000"/>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Book Antiqua">
    <w:altName w:val="Segoe Print"/>
    <w:panose1 w:val="02040602050305030304"/>
    <w:charset w:val="00"/>
    <w:family w:val="roman"/>
    <w:pitch w:val="default"/>
    <w:sig w:usb0="00000000" w:usb1="00000000" w:usb2="00000000" w:usb3="00000000" w:csb0="2000009F" w:csb1="DFD70000"/>
  </w:font>
  <w:font w:name="楷体_GB2312">
    <w:altName w:val="楷体"/>
    <w:panose1 w:val="02010609030101010101"/>
    <w:charset w:val="86"/>
    <w:family w:val="modern"/>
    <w:pitch w:val="default"/>
    <w:sig w:usb0="00000000" w:usb1="0000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EB739B"/>
    <w:multiLevelType w:val="singleLevel"/>
    <w:tmpl w:val="AAEB739B"/>
    <w:lvl w:ilvl="0" w:tentative="0">
      <w:start w:val="1"/>
      <w:numFmt w:val="decimal"/>
      <w:lvlText w:val="%1."/>
      <w:lvlJc w:val="left"/>
      <w:pPr>
        <w:tabs>
          <w:tab w:val="left" w:pos="312"/>
        </w:tabs>
      </w:pPr>
    </w:lvl>
  </w:abstractNum>
  <w:abstractNum w:abstractNumId="1">
    <w:nsid w:val="CEC06D5F"/>
    <w:multiLevelType w:val="singleLevel"/>
    <w:tmpl w:val="CEC06D5F"/>
    <w:lvl w:ilvl="0" w:tentative="0">
      <w:start w:val="1"/>
      <w:numFmt w:val="decimal"/>
      <w:suff w:val="nothing"/>
      <w:lvlText w:val="（%1）"/>
      <w:lvlJc w:val="left"/>
    </w:lvl>
  </w:abstractNum>
  <w:abstractNum w:abstractNumId="2">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4"/>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5"/>
      <w:suff w:val="nothing"/>
      <w:lvlText w:val="%1.%2.%3 "/>
      <w:lvlJc w:val="left"/>
      <w:pPr>
        <w:ind w:left="142" w:firstLine="0"/>
      </w:pPr>
    </w:lvl>
    <w:lvl w:ilvl="3" w:tentative="0">
      <w:start w:val="1"/>
      <w:numFmt w:val="decimal"/>
      <w:lvlRestart w:val="1"/>
      <w:pStyle w:val="6"/>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7"/>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5"/>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29"/>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5"/>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6"/>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3">
    <w:nsid w:val="6E230785"/>
    <w:multiLevelType w:val="multilevel"/>
    <w:tmpl w:val="6E230785"/>
    <w:lvl w:ilvl="0" w:tentative="0">
      <w:start w:val="1"/>
      <w:numFmt w:val="bullet"/>
      <w:pStyle w:val="34"/>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1"/>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2"/>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3"/>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38"/>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0"/>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6"/>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7"/>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TlhMWJlYmM4MDMyNDRkMGJkZWNiNzQxZDViNzAwYTEifQ=="/>
  </w:docVars>
  <w:rsids>
    <w:rsidRoot w:val="00172A27"/>
    <w:rsid w:val="00123FE3"/>
    <w:rsid w:val="001301C5"/>
    <w:rsid w:val="00172A27"/>
    <w:rsid w:val="00477707"/>
    <w:rsid w:val="005603E4"/>
    <w:rsid w:val="00791D96"/>
    <w:rsid w:val="009A3C9A"/>
    <w:rsid w:val="00C424AD"/>
    <w:rsid w:val="00CC1A2E"/>
    <w:rsid w:val="00ED32E4"/>
    <w:rsid w:val="00EE2011"/>
    <w:rsid w:val="00FA736A"/>
    <w:rsid w:val="00FC4153"/>
    <w:rsid w:val="00FD7ED5"/>
    <w:rsid w:val="012D66CB"/>
    <w:rsid w:val="014D3BDD"/>
    <w:rsid w:val="02040FDF"/>
    <w:rsid w:val="02083795"/>
    <w:rsid w:val="02BE3126"/>
    <w:rsid w:val="02CF2D69"/>
    <w:rsid w:val="02E72D8C"/>
    <w:rsid w:val="03393105"/>
    <w:rsid w:val="046B1D8B"/>
    <w:rsid w:val="046E3765"/>
    <w:rsid w:val="05FC2DA4"/>
    <w:rsid w:val="06622CB2"/>
    <w:rsid w:val="06A411DD"/>
    <w:rsid w:val="072D08E0"/>
    <w:rsid w:val="083A6841"/>
    <w:rsid w:val="08EE3671"/>
    <w:rsid w:val="09293C1C"/>
    <w:rsid w:val="092A167C"/>
    <w:rsid w:val="0A310FDA"/>
    <w:rsid w:val="0A533E8A"/>
    <w:rsid w:val="0A634ED8"/>
    <w:rsid w:val="0A69025B"/>
    <w:rsid w:val="0AB539B9"/>
    <w:rsid w:val="0B867103"/>
    <w:rsid w:val="0C397098"/>
    <w:rsid w:val="0DA26991"/>
    <w:rsid w:val="0ECB4993"/>
    <w:rsid w:val="112A7044"/>
    <w:rsid w:val="118E5A06"/>
    <w:rsid w:val="123D1FC9"/>
    <w:rsid w:val="12ED5CBA"/>
    <w:rsid w:val="13AA7D91"/>
    <w:rsid w:val="140B63F8"/>
    <w:rsid w:val="14841DB5"/>
    <w:rsid w:val="14C447F8"/>
    <w:rsid w:val="156452D7"/>
    <w:rsid w:val="17471A1A"/>
    <w:rsid w:val="176F6C9D"/>
    <w:rsid w:val="17936E30"/>
    <w:rsid w:val="18606150"/>
    <w:rsid w:val="19B32EC3"/>
    <w:rsid w:val="1A071A40"/>
    <w:rsid w:val="1A786886"/>
    <w:rsid w:val="1CC7757C"/>
    <w:rsid w:val="1D5379E4"/>
    <w:rsid w:val="1DC008E5"/>
    <w:rsid w:val="1DD86320"/>
    <w:rsid w:val="1EFF5193"/>
    <w:rsid w:val="1F3E25C9"/>
    <w:rsid w:val="1F8905C9"/>
    <w:rsid w:val="1F9A0F77"/>
    <w:rsid w:val="1FEF3071"/>
    <w:rsid w:val="20205D7D"/>
    <w:rsid w:val="2031368A"/>
    <w:rsid w:val="2039362C"/>
    <w:rsid w:val="217E1CFE"/>
    <w:rsid w:val="24875F4B"/>
    <w:rsid w:val="25D6438C"/>
    <w:rsid w:val="25E92311"/>
    <w:rsid w:val="26445799"/>
    <w:rsid w:val="28126A09"/>
    <w:rsid w:val="29B42C36"/>
    <w:rsid w:val="2A6117E0"/>
    <w:rsid w:val="2A8940C2"/>
    <w:rsid w:val="2A9C2048"/>
    <w:rsid w:val="2B975488"/>
    <w:rsid w:val="2BB05A29"/>
    <w:rsid w:val="2BBE1469"/>
    <w:rsid w:val="2BCA739A"/>
    <w:rsid w:val="2D393A69"/>
    <w:rsid w:val="2E0860D1"/>
    <w:rsid w:val="2E402CEA"/>
    <w:rsid w:val="2E5A20BA"/>
    <w:rsid w:val="2ECB5FE2"/>
    <w:rsid w:val="30213808"/>
    <w:rsid w:val="31F44517"/>
    <w:rsid w:val="325C5786"/>
    <w:rsid w:val="337322A8"/>
    <w:rsid w:val="33D53A32"/>
    <w:rsid w:val="34403FA4"/>
    <w:rsid w:val="34DB5F68"/>
    <w:rsid w:val="35912415"/>
    <w:rsid w:val="371778DF"/>
    <w:rsid w:val="37E62326"/>
    <w:rsid w:val="38A511DA"/>
    <w:rsid w:val="3A1B67E7"/>
    <w:rsid w:val="3A7D6982"/>
    <w:rsid w:val="3AAB5B8E"/>
    <w:rsid w:val="3AE81AF2"/>
    <w:rsid w:val="3C047712"/>
    <w:rsid w:val="3CCC5DA0"/>
    <w:rsid w:val="3CD77495"/>
    <w:rsid w:val="3D4445A5"/>
    <w:rsid w:val="3DC27043"/>
    <w:rsid w:val="3DD1395F"/>
    <w:rsid w:val="3E8C010F"/>
    <w:rsid w:val="3EFD65C9"/>
    <w:rsid w:val="3F1831BA"/>
    <w:rsid w:val="400E2C48"/>
    <w:rsid w:val="403A795B"/>
    <w:rsid w:val="4044389B"/>
    <w:rsid w:val="40C03B09"/>
    <w:rsid w:val="42100EF9"/>
    <w:rsid w:val="42925DB2"/>
    <w:rsid w:val="42D40179"/>
    <w:rsid w:val="4327269E"/>
    <w:rsid w:val="434B112E"/>
    <w:rsid w:val="443D1A3B"/>
    <w:rsid w:val="4504286C"/>
    <w:rsid w:val="46C97C03"/>
    <w:rsid w:val="471A188F"/>
    <w:rsid w:val="472B5FAC"/>
    <w:rsid w:val="483F34F7"/>
    <w:rsid w:val="48AD79E8"/>
    <w:rsid w:val="48F03340"/>
    <w:rsid w:val="4908486B"/>
    <w:rsid w:val="49B06B1E"/>
    <w:rsid w:val="49DC5C4D"/>
    <w:rsid w:val="4A44006F"/>
    <w:rsid w:val="4B3450B1"/>
    <w:rsid w:val="4BAE4378"/>
    <w:rsid w:val="4BFB311F"/>
    <w:rsid w:val="4DA31AFF"/>
    <w:rsid w:val="4DB34E2F"/>
    <w:rsid w:val="4FA7135F"/>
    <w:rsid w:val="50DE6FEF"/>
    <w:rsid w:val="513444D8"/>
    <w:rsid w:val="515756D7"/>
    <w:rsid w:val="52871060"/>
    <w:rsid w:val="52ED4007"/>
    <w:rsid w:val="54210D44"/>
    <w:rsid w:val="54227B28"/>
    <w:rsid w:val="55A27C63"/>
    <w:rsid w:val="55A710AE"/>
    <w:rsid w:val="560F1B9D"/>
    <w:rsid w:val="57BF2D4E"/>
    <w:rsid w:val="58B74CBC"/>
    <w:rsid w:val="59671403"/>
    <w:rsid w:val="598A3C77"/>
    <w:rsid w:val="5B0418D0"/>
    <w:rsid w:val="5B2814D9"/>
    <w:rsid w:val="5BAA161F"/>
    <w:rsid w:val="5D4D1D73"/>
    <w:rsid w:val="5D972077"/>
    <w:rsid w:val="5E8E770E"/>
    <w:rsid w:val="623B7383"/>
    <w:rsid w:val="63166D1A"/>
    <w:rsid w:val="65922BE0"/>
    <w:rsid w:val="65CF770C"/>
    <w:rsid w:val="680622D3"/>
    <w:rsid w:val="6AB242D2"/>
    <w:rsid w:val="6AC87D14"/>
    <w:rsid w:val="6AF27A26"/>
    <w:rsid w:val="6B2D401B"/>
    <w:rsid w:val="6B557E6C"/>
    <w:rsid w:val="6B686E01"/>
    <w:rsid w:val="6C083654"/>
    <w:rsid w:val="6C094604"/>
    <w:rsid w:val="6C751B3B"/>
    <w:rsid w:val="6DC37643"/>
    <w:rsid w:val="6E182D60"/>
    <w:rsid w:val="6E354925"/>
    <w:rsid w:val="6E4A295F"/>
    <w:rsid w:val="6EAE5472"/>
    <w:rsid w:val="6ED924EF"/>
    <w:rsid w:val="6FE03650"/>
    <w:rsid w:val="70926DFA"/>
    <w:rsid w:val="710B2708"/>
    <w:rsid w:val="724471CD"/>
    <w:rsid w:val="734653CB"/>
    <w:rsid w:val="74963E13"/>
    <w:rsid w:val="75292AD1"/>
    <w:rsid w:val="7553467E"/>
    <w:rsid w:val="760D37CC"/>
    <w:rsid w:val="79870010"/>
    <w:rsid w:val="79E2018B"/>
    <w:rsid w:val="7C7F737F"/>
    <w:rsid w:val="7CF20C20"/>
    <w:rsid w:val="7DD345AE"/>
    <w:rsid w:val="7E921C8E"/>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5"/>
    <w:link w:val="17"/>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5">
    <w:name w:val="heading 3"/>
    <w:basedOn w:val="1"/>
    <w:next w:val="1"/>
    <w:link w:val="18"/>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6">
    <w:name w:val="heading 4"/>
    <w:basedOn w:val="1"/>
    <w:next w:val="1"/>
    <w:link w:val="19"/>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7">
    <w:name w:val="heading 5"/>
    <w:basedOn w:val="1"/>
    <w:next w:val="1"/>
    <w:link w:val="20"/>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paragraph" w:styleId="3">
    <w:name w:val="Body Text Indent"/>
    <w:basedOn w:val="1"/>
    <w:qFormat/>
    <w:uiPriority w:val="0"/>
    <w:pPr>
      <w:spacing w:after="120"/>
      <w:ind w:left="420" w:leftChars="200"/>
    </w:pPr>
    <w:rPr>
      <w:lang w:val="zh-CN"/>
    </w:rPr>
  </w:style>
  <w:style w:type="paragraph" w:styleId="8">
    <w:name w:val="Normal Indent"/>
    <w:basedOn w:val="1"/>
    <w:qFormat/>
    <w:uiPriority w:val="99"/>
    <w:pPr>
      <w:ind w:firstLine="420" w:firstLineChars="200"/>
    </w:pPr>
  </w:style>
  <w:style w:type="paragraph" w:styleId="9">
    <w:name w:val="Plain Text"/>
    <w:basedOn w:val="1"/>
    <w:next w:val="1"/>
    <w:qFormat/>
    <w:uiPriority w:val="0"/>
    <w:rPr>
      <w:rFonts w:ascii="宋体" w:hAnsi="Courier New"/>
      <w:szCs w:val="20"/>
    </w:rPr>
  </w:style>
  <w:style w:type="paragraph" w:styleId="10">
    <w:name w:val="Balloon Text"/>
    <w:basedOn w:val="1"/>
    <w:link w:val="39"/>
    <w:qFormat/>
    <w:uiPriority w:val="0"/>
    <w:rPr>
      <w:sz w:val="18"/>
      <w:szCs w:val="18"/>
    </w:rPr>
  </w:style>
  <w:style w:type="paragraph" w:styleId="11">
    <w:name w:val="footer"/>
    <w:basedOn w:val="1"/>
    <w:link w:val="16"/>
    <w:qFormat/>
    <w:uiPriority w:val="0"/>
    <w:pPr>
      <w:tabs>
        <w:tab w:val="center" w:pos="4153"/>
        <w:tab w:val="right" w:pos="8306"/>
      </w:tabs>
      <w:snapToGrid w:val="0"/>
      <w:jc w:val="left"/>
    </w:pPr>
    <w:rPr>
      <w:sz w:val="18"/>
      <w:szCs w:val="18"/>
    </w:rPr>
  </w:style>
  <w:style w:type="paragraph" w:styleId="12">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character" w:customStyle="1" w:styleId="15">
    <w:name w:val="页眉 Char"/>
    <w:basedOn w:val="14"/>
    <w:link w:val="12"/>
    <w:qFormat/>
    <w:uiPriority w:val="0"/>
    <w:rPr>
      <w:kern w:val="2"/>
      <w:sz w:val="18"/>
      <w:szCs w:val="18"/>
    </w:rPr>
  </w:style>
  <w:style w:type="character" w:customStyle="1" w:styleId="16">
    <w:name w:val="页脚 Char"/>
    <w:basedOn w:val="14"/>
    <w:link w:val="11"/>
    <w:qFormat/>
    <w:uiPriority w:val="0"/>
    <w:rPr>
      <w:kern w:val="2"/>
      <w:sz w:val="18"/>
      <w:szCs w:val="18"/>
    </w:rPr>
  </w:style>
  <w:style w:type="character" w:customStyle="1" w:styleId="17">
    <w:name w:val="标题 2 Char"/>
    <w:basedOn w:val="14"/>
    <w:link w:val="4"/>
    <w:qFormat/>
    <w:uiPriority w:val="0"/>
    <w:rPr>
      <w:rFonts w:ascii="Book Antiqua" w:hAnsi="Book Antiqua" w:eastAsia="黑体" w:cs="Book Antiqua"/>
      <w:bCs/>
      <w:sz w:val="36"/>
      <w:szCs w:val="36"/>
      <w:lang w:eastAsia="en-US"/>
    </w:rPr>
  </w:style>
  <w:style w:type="character" w:customStyle="1" w:styleId="18">
    <w:name w:val="标题 3 Char"/>
    <w:basedOn w:val="14"/>
    <w:link w:val="5"/>
    <w:qFormat/>
    <w:uiPriority w:val="0"/>
    <w:rPr>
      <w:rFonts w:ascii="Book Antiqua" w:hAnsi="Book Antiqua" w:eastAsia="黑体" w:cs="宋体"/>
      <w:sz w:val="32"/>
      <w:szCs w:val="32"/>
    </w:rPr>
  </w:style>
  <w:style w:type="character" w:customStyle="1" w:styleId="19">
    <w:name w:val="标题 4 Char"/>
    <w:basedOn w:val="14"/>
    <w:link w:val="6"/>
    <w:qFormat/>
    <w:uiPriority w:val="0"/>
    <w:rPr>
      <w:rFonts w:ascii="Book Antiqua" w:hAnsi="Book Antiqua" w:eastAsia="黑体" w:cs="宋体"/>
      <w:sz w:val="28"/>
      <w:szCs w:val="28"/>
    </w:rPr>
  </w:style>
  <w:style w:type="character" w:customStyle="1" w:styleId="20">
    <w:name w:val="标题 5 Char"/>
    <w:basedOn w:val="14"/>
    <w:link w:val="7"/>
    <w:qFormat/>
    <w:uiPriority w:val="0"/>
    <w:rPr>
      <w:rFonts w:ascii="Book Antiqua" w:hAnsi="Book Antiqua" w:eastAsia="黑体" w:cs="宋体"/>
      <w:sz w:val="24"/>
      <w:szCs w:val="24"/>
    </w:rPr>
  </w:style>
  <w:style w:type="paragraph" w:styleId="21">
    <w:name w:val="List Paragraph"/>
    <w:basedOn w:val="1"/>
    <w:link w:val="22"/>
    <w:qFormat/>
    <w:uiPriority w:val="34"/>
    <w:pPr>
      <w:ind w:firstLine="420" w:firstLineChars="200"/>
    </w:pPr>
    <w:rPr>
      <w:rFonts w:asciiTheme="minorHAnsi" w:hAnsiTheme="minorHAnsi" w:eastAsiaTheme="minorEastAsia" w:cstheme="minorBidi"/>
      <w:szCs w:val="22"/>
    </w:rPr>
  </w:style>
  <w:style w:type="character" w:customStyle="1" w:styleId="22">
    <w:name w:val="列出段落 Char"/>
    <w:link w:val="21"/>
    <w:qFormat/>
    <w:uiPriority w:val="34"/>
    <w:rPr>
      <w:rFonts w:asciiTheme="minorHAnsi" w:hAnsiTheme="minorHAnsi" w:eastAsiaTheme="minorEastAsia" w:cstheme="minorBidi"/>
      <w:kern w:val="2"/>
      <w:sz w:val="21"/>
      <w:szCs w:val="22"/>
    </w:rPr>
  </w:style>
  <w:style w:type="character" w:customStyle="1" w:styleId="23">
    <w:name w:val="Item Step in table Char Char"/>
    <w:link w:val="24"/>
    <w:qFormat/>
    <w:uiPriority w:val="0"/>
    <w:rPr>
      <w:rFonts w:cs="Arial"/>
      <w:bCs/>
      <w:szCs w:val="28"/>
    </w:rPr>
  </w:style>
  <w:style w:type="paragraph" w:customStyle="1" w:styleId="24">
    <w:name w:val="Item Step in table"/>
    <w:basedOn w:val="7"/>
    <w:link w:val="23"/>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5">
    <w:name w:val="Block Label"/>
    <w:basedOn w:val="1"/>
    <w:next w:val="1"/>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6">
    <w:name w:val="Table Description"/>
    <w:basedOn w:val="1"/>
    <w:next w:val="1"/>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7">
    <w:name w:val="Table Text Char"/>
    <w:link w:val="28"/>
    <w:qFormat/>
    <w:uiPriority w:val="0"/>
    <w:rPr>
      <w:rFonts w:cs="Arial"/>
      <w:szCs w:val="21"/>
    </w:rPr>
  </w:style>
  <w:style w:type="paragraph" w:customStyle="1" w:styleId="28">
    <w:name w:val="Table Text"/>
    <w:basedOn w:val="1"/>
    <w:link w:val="27"/>
    <w:qFormat/>
    <w:uiPriority w:val="0"/>
    <w:pPr>
      <w:topLinePunct/>
      <w:adjustRightInd w:val="0"/>
      <w:snapToGrid w:val="0"/>
      <w:spacing w:before="80" w:after="80" w:line="240" w:lineRule="atLeast"/>
      <w:jc w:val="left"/>
    </w:pPr>
    <w:rPr>
      <w:rFonts w:cs="Arial"/>
      <w:kern w:val="0"/>
      <w:sz w:val="20"/>
      <w:szCs w:val="21"/>
    </w:rPr>
  </w:style>
  <w:style w:type="paragraph" w:customStyle="1" w:styleId="29">
    <w:name w:val="Step"/>
    <w:basedOn w:val="1"/>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0">
    <w:name w:val="CAUTION Text Step"/>
    <w:basedOn w:val="1"/>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1">
    <w:name w:val="Sub Item Step in Tabl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2">
    <w:name w:val="Sub Item List in Table"/>
    <w:basedOn w:val="1"/>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3">
    <w:name w:val="Sub Item Step in Table List"/>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4">
    <w:name w:val="Item List in Table"/>
    <w:basedOn w:val="1"/>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5">
    <w:name w:val="Figure Description"/>
    <w:next w:val="1"/>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6">
    <w:name w:val="Notes Text Step"/>
    <w:basedOn w:val="30"/>
    <w:qFormat/>
    <w:uiPriority w:val="0"/>
    <w:pPr>
      <w:numPr>
        <w:ilvl w:val="6"/>
      </w:numPr>
      <w:pBdr>
        <w:bottom w:val="none" w:color="auto" w:sz="0" w:space="0"/>
      </w:pBdr>
      <w:spacing w:before="40" w:line="200" w:lineRule="atLeast"/>
    </w:pPr>
    <w:rPr>
      <w:sz w:val="18"/>
      <w:szCs w:val="18"/>
    </w:rPr>
  </w:style>
  <w:style w:type="paragraph" w:customStyle="1" w:styleId="37">
    <w:name w:val="Notes Text Step in Tabl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38">
    <w:name w:val="Sub Item List in Table Step"/>
    <w:basedOn w:val="1"/>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39">
    <w:name w:val="批注框文本 Char"/>
    <w:basedOn w:val="14"/>
    <w:link w:val="10"/>
    <w:qFormat/>
    <w:uiPriority w:val="0"/>
    <w:rPr>
      <w:kern w:val="2"/>
      <w:sz w:val="18"/>
      <w:szCs w:val="18"/>
    </w:rPr>
  </w:style>
  <w:style w:type="paragraph" w:customStyle="1" w:styleId="40">
    <w:name w:val="样式 宋体 小四 行距: 1.5 倍行距 首行缩进:  2 字符"/>
    <w:basedOn w:val="1"/>
    <w:qFormat/>
    <w:uiPriority w:val="99"/>
    <w:pPr>
      <w:spacing w:line="360" w:lineRule="auto"/>
      <w:ind w:firstLine="480" w:firstLineChars="200"/>
    </w:pPr>
    <w:rPr>
      <w:rFonts w:ascii="Times New Roman" w:hAnsi="Times New Roman" w:cs="宋体"/>
    </w:rPr>
  </w:style>
  <w:style w:type="character" w:customStyle="1" w:styleId="41">
    <w:name w:val="font21"/>
    <w:basedOn w:val="14"/>
    <w:qFormat/>
    <w:uiPriority w:val="0"/>
    <w:rPr>
      <w:rFonts w:hint="eastAsia" w:ascii="宋体" w:hAnsi="宋体" w:eastAsia="宋体" w:cs="宋体"/>
      <w:color w:val="000000"/>
      <w:sz w:val="20"/>
      <w:szCs w:val="20"/>
      <w:u w:val="none"/>
    </w:rPr>
  </w:style>
  <w:style w:type="character" w:customStyle="1" w:styleId="42">
    <w:name w:val="font31"/>
    <w:basedOn w:val="14"/>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1548</Words>
  <Characters>1796</Characters>
  <Lines>61</Lines>
  <Paragraphs>17</Paragraphs>
  <TotalTime>7</TotalTime>
  <ScaleCrop>false</ScaleCrop>
  <LinksUpToDate>false</LinksUpToDate>
  <CharactersWithSpaces>1864</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永远的yu</cp:lastModifiedBy>
  <cp:lastPrinted>2022-10-20T06:50:00Z</cp:lastPrinted>
  <dcterms:modified xsi:type="dcterms:W3CDTF">2023-12-07T06:01:56Z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B75484C30A0D48A998196F431A9A3E69</vt:lpwstr>
  </property>
</Properties>
</file>