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天线设备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040"/>
        <w:gridCol w:w="1125"/>
        <w:gridCol w:w="795"/>
        <w:gridCol w:w="795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802-1-5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ETC车道天线(含天线控制器)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802-3-6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ETC车道天线(含天线控制器)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802-11-1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RSU（含PCI/PCI-E密码卡)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802-11-2</w:t>
            </w: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天线控制器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指导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安装调试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费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税费、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测试及缺陷的维护等一切费用；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258000.00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spacing w:beforeLines="0" w:afterLines="0"/>
        <w:jc w:val="left"/>
        <w:rPr>
          <w:rFonts w:hint="eastAsia" w:ascii="宋体" w:hAnsi="宋体" w:eastAsia="宋体"/>
          <w:b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Times New Roman"/>
          <w:b/>
          <w:bCs w:val="0"/>
          <w:sz w:val="24"/>
          <w:szCs w:val="24"/>
        </w:rPr>
        <w:t xml:space="preserve">ETC </w:t>
      </w:r>
      <w:r>
        <w:rPr>
          <w:rFonts w:hint="eastAsia" w:ascii="宋体" w:hAnsi="宋体" w:eastAsia="宋体"/>
          <w:b/>
          <w:bCs w:val="0"/>
          <w:sz w:val="24"/>
          <w:szCs w:val="24"/>
        </w:rPr>
        <w:t>车道天线</w:t>
      </w:r>
    </w:p>
    <w:p>
      <w:pPr>
        <w:spacing w:beforeLines="0" w:afterLines="0"/>
        <w:jc w:val="left"/>
        <w:rPr>
          <w:rFonts w:hint="default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收费车道天线应满足收费系统的要求如下</w:t>
      </w:r>
      <w:r>
        <w:rPr>
          <w:rFonts w:hint="default" w:ascii="宋体" w:hAnsi="宋体" w:eastAsia="宋体"/>
          <w:sz w:val="24"/>
          <w:szCs w:val="24"/>
        </w:rPr>
        <w:t>: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hint="default" w:ascii="宋体" w:hAnsi="宋体" w:eastAsia="宋体"/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hint="default" w:ascii="宋体" w:hAnsi="宋体" w:eastAsia="宋体"/>
          <w:sz w:val="24"/>
          <w:szCs w:val="24"/>
        </w:rPr>
        <w:t xml:space="preserve">CPC </w:t>
      </w:r>
      <w:r>
        <w:rPr>
          <w:rFonts w:hint="eastAsia" w:ascii="宋体" w:hAnsi="宋体" w:eastAsia="宋体"/>
          <w:sz w:val="24"/>
          <w:szCs w:val="24"/>
        </w:rPr>
        <w:t>卡计费成功率不低于</w:t>
      </w:r>
      <w:r>
        <w:rPr>
          <w:rFonts w:hint="default" w:ascii="宋体" w:hAnsi="宋体" w:eastAsia="宋体"/>
          <w:sz w:val="24"/>
          <w:szCs w:val="24"/>
        </w:rPr>
        <w:t>99.9%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hint="default"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）单片式</w:t>
      </w:r>
      <w:r>
        <w:rPr>
          <w:rFonts w:hint="default" w:ascii="宋体" w:hAnsi="宋体" w:eastAsia="宋体"/>
          <w:sz w:val="24"/>
          <w:szCs w:val="24"/>
        </w:rPr>
        <w:t>OBU</w:t>
      </w:r>
      <w:r>
        <w:rPr>
          <w:rFonts w:hint="eastAsia" w:ascii="宋体" w:hAnsi="宋体" w:eastAsia="宋体"/>
          <w:sz w:val="24"/>
          <w:szCs w:val="24"/>
        </w:rPr>
        <w:t>：交易成功率不低于</w:t>
      </w:r>
      <w:r>
        <w:rPr>
          <w:rFonts w:hint="default" w:ascii="宋体" w:hAnsi="宋体" w:eastAsia="宋体"/>
          <w:sz w:val="24"/>
          <w:szCs w:val="24"/>
        </w:rPr>
        <w:t>99.9%</w:t>
      </w:r>
      <w:r>
        <w:rPr>
          <w:rFonts w:hint="eastAsia" w:ascii="宋体" w:hAnsi="宋体" w:eastAsia="宋体"/>
          <w:sz w:val="24"/>
          <w:szCs w:val="24"/>
        </w:rPr>
        <w:t>，车辆信息获取成功率不低于</w:t>
      </w:r>
      <w:r>
        <w:rPr>
          <w:rFonts w:hint="default" w:ascii="宋体" w:hAnsi="宋体" w:eastAsia="宋体"/>
          <w:sz w:val="24"/>
          <w:szCs w:val="24"/>
        </w:rPr>
        <w:t>99.99%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hint="default"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）双片式</w:t>
      </w:r>
      <w:r>
        <w:rPr>
          <w:rFonts w:hint="default" w:ascii="宋体" w:hAnsi="宋体" w:eastAsia="宋体"/>
          <w:sz w:val="24"/>
          <w:szCs w:val="24"/>
        </w:rPr>
        <w:t>OBU</w:t>
      </w:r>
      <w:r>
        <w:rPr>
          <w:rFonts w:hint="eastAsia" w:ascii="宋体" w:hAnsi="宋体" w:eastAsia="宋体"/>
          <w:sz w:val="24"/>
          <w:szCs w:val="24"/>
        </w:rPr>
        <w:t>：交易成功率不低于</w:t>
      </w:r>
      <w:r>
        <w:rPr>
          <w:rFonts w:hint="default" w:ascii="宋体" w:hAnsi="宋体" w:eastAsia="宋体"/>
          <w:sz w:val="24"/>
          <w:szCs w:val="24"/>
        </w:rPr>
        <w:t>98.0%</w:t>
      </w:r>
      <w:r>
        <w:rPr>
          <w:rFonts w:hint="eastAsia" w:ascii="宋体" w:hAnsi="宋体" w:eastAsia="宋体"/>
          <w:sz w:val="24"/>
          <w:szCs w:val="24"/>
        </w:rPr>
        <w:t>，车辆信息获取成功率不低于</w:t>
      </w:r>
      <w:r>
        <w:rPr>
          <w:rFonts w:hint="default" w:ascii="宋体" w:hAnsi="宋体" w:eastAsia="宋体"/>
          <w:sz w:val="24"/>
          <w:szCs w:val="24"/>
        </w:rPr>
        <w:t>99.5%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主要技术参数如下：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应符合</w:t>
      </w:r>
      <w:r>
        <w:rPr>
          <w:rFonts w:hint="default" w:ascii="宋体" w:hAnsi="宋体" w:eastAsia="宋体"/>
          <w:sz w:val="24"/>
          <w:szCs w:val="24"/>
        </w:rPr>
        <w:t>GB/T 20851.1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>GB/T 20851.2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 xml:space="preserve">GB/T20851.3 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>GB/T 20851.4</w:t>
      </w:r>
      <w:r>
        <w:rPr>
          <w:rFonts w:hint="eastAsia" w:ascii="宋体" w:hAnsi="宋体" w:eastAsia="宋体"/>
          <w:sz w:val="24"/>
          <w:szCs w:val="24"/>
        </w:rPr>
        <w:t>、《收费公路联网电子不停车收费技术要求》、《收费公路联网收费技术要求》相关规定，且满足交通运输部《取消高速公路省界收费站总体技术方案》《取消高速公路省界收费站工程建设方案》、《高速公路</w:t>
      </w:r>
      <w:r>
        <w:rPr>
          <w:rFonts w:hint="default" w:ascii="宋体" w:hAnsi="宋体" w:eastAsia="宋体"/>
          <w:sz w:val="24"/>
          <w:szCs w:val="24"/>
        </w:rPr>
        <w:t xml:space="preserve">ETC </w:t>
      </w:r>
      <w:r>
        <w:rPr>
          <w:rFonts w:hint="eastAsia" w:ascii="宋体" w:hAnsi="宋体" w:eastAsia="宋体"/>
          <w:sz w:val="24"/>
          <w:szCs w:val="24"/>
        </w:rPr>
        <w:t>门架系统技术要求》规定；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支持联机进行远程设备维护及设备管理，可实现设备故障告警、远程诊断、维护、固件升级等功能；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具备相位可控的阵列式技术；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收费车道天线具有内置的</w:t>
      </w:r>
      <w:r>
        <w:rPr>
          <w:rFonts w:hint="default" w:ascii="宋体" w:hAnsi="宋体" w:eastAsia="宋体"/>
          <w:sz w:val="24"/>
          <w:szCs w:val="24"/>
        </w:rPr>
        <w:t xml:space="preserve">PSAM </w:t>
      </w:r>
      <w:r>
        <w:rPr>
          <w:rFonts w:hint="eastAsia" w:ascii="宋体" w:hAnsi="宋体" w:eastAsia="宋体"/>
          <w:sz w:val="24"/>
          <w:szCs w:val="24"/>
        </w:rPr>
        <w:t>模块，支持</w:t>
      </w:r>
      <w:r>
        <w:rPr>
          <w:rFonts w:hint="default" w:ascii="宋体" w:hAnsi="宋体" w:eastAsia="宋体"/>
          <w:sz w:val="24"/>
          <w:szCs w:val="24"/>
        </w:rPr>
        <w:t>PSAM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 xml:space="preserve">PCI </w:t>
      </w:r>
      <w:r>
        <w:rPr>
          <w:rFonts w:hint="eastAsia" w:ascii="宋体" w:hAnsi="宋体" w:eastAsia="宋体"/>
          <w:sz w:val="24"/>
          <w:szCs w:val="24"/>
        </w:rPr>
        <w:t>密码卡；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收费车道天线与</w:t>
      </w:r>
      <w:r>
        <w:rPr>
          <w:rFonts w:hint="default" w:ascii="宋体" w:hAnsi="宋体" w:eastAsia="宋体"/>
          <w:sz w:val="24"/>
          <w:szCs w:val="24"/>
        </w:rPr>
        <w:t xml:space="preserve">OBU </w:t>
      </w:r>
      <w:r>
        <w:rPr>
          <w:rFonts w:hint="eastAsia" w:ascii="宋体" w:hAnsi="宋体" w:eastAsia="宋体"/>
          <w:sz w:val="24"/>
          <w:szCs w:val="24"/>
        </w:rPr>
        <w:t>之间处理一个完整收费交易所需的典型交易时间小于</w:t>
      </w:r>
      <w:r>
        <w:rPr>
          <w:rFonts w:hint="default" w:ascii="宋体" w:hAnsi="宋体" w:eastAsia="宋体"/>
          <w:sz w:val="24"/>
          <w:szCs w:val="24"/>
        </w:rPr>
        <w:t>250ms</w:t>
      </w:r>
      <w:r>
        <w:rPr>
          <w:rFonts w:hint="eastAsia" w:ascii="宋体" w:hAnsi="宋体" w:eastAsia="宋体"/>
          <w:sz w:val="24"/>
          <w:szCs w:val="24"/>
        </w:rPr>
        <w:t>；与</w:t>
      </w:r>
      <w:r>
        <w:rPr>
          <w:rFonts w:hint="default" w:ascii="宋体" w:hAnsi="宋体" w:eastAsia="宋体"/>
          <w:sz w:val="24"/>
          <w:szCs w:val="24"/>
        </w:rPr>
        <w:t>CPC</w:t>
      </w:r>
      <w:r>
        <w:rPr>
          <w:rFonts w:hint="eastAsia" w:ascii="宋体" w:hAnsi="宋体" w:eastAsia="宋体"/>
          <w:sz w:val="24"/>
          <w:szCs w:val="24"/>
        </w:rPr>
        <w:t>卡交易时间小于</w:t>
      </w:r>
      <w:r>
        <w:rPr>
          <w:rFonts w:hint="default" w:ascii="宋体" w:hAnsi="宋体" w:eastAsia="宋体"/>
          <w:sz w:val="24"/>
          <w:szCs w:val="24"/>
        </w:rPr>
        <w:t>150ms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接收灵敏度：≤</w:t>
      </w:r>
      <w:r>
        <w:rPr>
          <w:rFonts w:hint="default" w:ascii="宋体" w:hAnsi="宋体" w:eastAsia="宋体"/>
          <w:sz w:val="24"/>
          <w:szCs w:val="24"/>
        </w:rPr>
        <w:t>-70dBm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邻道泄漏功率比: ≤</w:t>
      </w:r>
      <w:r>
        <w:rPr>
          <w:rFonts w:hint="default" w:ascii="宋体" w:hAnsi="宋体" w:eastAsia="宋体"/>
          <w:sz w:val="24"/>
          <w:szCs w:val="24"/>
        </w:rPr>
        <w:t>-30dB</w:t>
      </w:r>
      <w:r>
        <w:rPr>
          <w:rFonts w:hint="eastAsia" w:ascii="宋体" w:hAnsi="宋体" w:eastAsia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支持车道交易通车速度</w:t>
      </w:r>
      <w:r>
        <w:rPr>
          <w:rFonts w:hint="default" w:ascii="宋体" w:hAnsi="宋体" w:eastAsia="宋体"/>
          <w:sz w:val="24"/>
          <w:szCs w:val="24"/>
        </w:rPr>
        <w:t xml:space="preserve">40 </w:t>
      </w:r>
      <w:r>
        <w:rPr>
          <w:rFonts w:hint="eastAsia" w:ascii="宋体" w:hAnsi="宋体" w:eastAsia="宋体"/>
          <w:sz w:val="24"/>
          <w:szCs w:val="24"/>
        </w:rPr>
        <w:t>公里</w:t>
      </w:r>
      <w:r>
        <w:rPr>
          <w:rFonts w:hint="default" w:ascii="宋体" w:hAnsi="宋体" w:eastAsia="宋体"/>
          <w:sz w:val="24"/>
          <w:szCs w:val="24"/>
        </w:rPr>
        <w:t>/</w:t>
      </w:r>
      <w:r>
        <w:rPr>
          <w:rFonts w:hint="eastAsia" w:ascii="宋体" w:hAnsi="宋体" w:eastAsia="宋体"/>
          <w:sz w:val="24"/>
          <w:szCs w:val="24"/>
        </w:rPr>
        <w:t>小时；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收费车道天线具备应能精确控制通信区域，杜绝旁道干扰、跟车干扰的功能；</w:t>
      </w:r>
      <w:r>
        <w:rPr>
          <w:rFonts w:hint="default" w:ascii="宋体" w:hAnsi="宋体" w:eastAsia="宋体"/>
          <w:sz w:val="24"/>
          <w:szCs w:val="24"/>
        </w:rPr>
        <w:t xml:space="preserve">ETC </w:t>
      </w:r>
      <w:r>
        <w:rPr>
          <w:rFonts w:hint="eastAsia" w:ascii="宋体" w:hAnsi="宋体" w:eastAsia="宋体"/>
          <w:sz w:val="24"/>
          <w:szCs w:val="24"/>
        </w:rPr>
        <w:t>车道相邻时，各车道</w:t>
      </w:r>
      <w:r>
        <w:rPr>
          <w:rFonts w:hint="default" w:ascii="宋体" w:hAnsi="宋体" w:eastAsia="宋体"/>
          <w:sz w:val="24"/>
          <w:szCs w:val="24"/>
        </w:rPr>
        <w:t xml:space="preserve">RSU </w:t>
      </w:r>
      <w:r>
        <w:rPr>
          <w:rFonts w:hint="eastAsia" w:ascii="宋体" w:hAnsi="宋体" w:eastAsia="宋体"/>
          <w:sz w:val="24"/>
          <w:szCs w:val="24"/>
        </w:rPr>
        <w:t>的工作频率应能交叉配置；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位误码率(B.E.R.): 10×10</w:t>
      </w:r>
      <w:r>
        <w:rPr>
          <w:rFonts w:hint="default" w:ascii="宋体" w:hAnsi="宋体" w:eastAsia="宋体"/>
          <w:sz w:val="24"/>
          <w:szCs w:val="24"/>
        </w:rPr>
        <w:t xml:space="preserve">-6 </w:t>
      </w:r>
      <w:r>
        <w:rPr>
          <w:rFonts w:hint="eastAsia" w:ascii="宋体" w:hAnsi="宋体" w:eastAsia="宋体"/>
          <w:sz w:val="24"/>
          <w:szCs w:val="24"/>
        </w:rPr>
        <w:t>以内；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使用寿命：不低于</w:t>
      </w:r>
      <w:r>
        <w:rPr>
          <w:rFonts w:hint="default" w:ascii="宋体" w:hAnsi="宋体" w:eastAsia="宋体"/>
          <w:sz w:val="24"/>
          <w:szCs w:val="24"/>
        </w:rPr>
        <w:t xml:space="preserve">5 </w:t>
      </w:r>
      <w:r>
        <w:rPr>
          <w:rFonts w:hint="eastAsia" w:ascii="宋体" w:hAnsi="宋体" w:eastAsia="宋体"/>
          <w:sz w:val="24"/>
          <w:szCs w:val="24"/>
        </w:rPr>
        <w:t>年；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 xml:space="preserve">RSU </w:t>
      </w:r>
      <w:r>
        <w:rPr>
          <w:rFonts w:hint="eastAsia" w:ascii="宋体" w:hAnsi="宋体" w:eastAsia="宋体"/>
          <w:sz w:val="24"/>
          <w:szCs w:val="24"/>
        </w:rPr>
        <w:t>具备通用的通信接口，例如</w:t>
      </w:r>
      <w:r>
        <w:rPr>
          <w:rFonts w:hint="default" w:ascii="宋体" w:hAnsi="宋体" w:eastAsia="宋体"/>
          <w:sz w:val="24"/>
          <w:szCs w:val="24"/>
        </w:rPr>
        <w:t>RS232/422/485/</w:t>
      </w:r>
      <w:r>
        <w:rPr>
          <w:rFonts w:hint="eastAsia" w:ascii="宋体" w:hAnsi="宋体" w:eastAsia="宋体"/>
          <w:sz w:val="24"/>
          <w:szCs w:val="24"/>
        </w:rPr>
        <w:t>以太网口等，能与车道主控计算机进行实时数据交换；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采用三级防雷防静电技术，可耐</w:t>
      </w:r>
      <w:r>
        <w:rPr>
          <w:rFonts w:hint="default" w:ascii="宋体" w:hAnsi="宋体" w:eastAsia="宋体"/>
          <w:sz w:val="24"/>
          <w:szCs w:val="24"/>
        </w:rPr>
        <w:t xml:space="preserve">4kV </w:t>
      </w:r>
      <w:r>
        <w:rPr>
          <w:rFonts w:hint="eastAsia" w:ascii="宋体" w:hAnsi="宋体" w:eastAsia="宋体"/>
          <w:sz w:val="24"/>
          <w:szCs w:val="24"/>
        </w:rPr>
        <w:t>雷击浪涌、</w:t>
      </w:r>
      <w:r>
        <w:rPr>
          <w:rFonts w:hint="default" w:ascii="宋体" w:hAnsi="宋体" w:eastAsia="宋体"/>
          <w:sz w:val="24"/>
          <w:szCs w:val="24"/>
        </w:rPr>
        <w:t xml:space="preserve">8kV </w:t>
      </w:r>
      <w:r>
        <w:rPr>
          <w:rFonts w:hint="eastAsia" w:ascii="宋体" w:hAnsi="宋体" w:eastAsia="宋体"/>
          <w:sz w:val="24"/>
          <w:szCs w:val="24"/>
        </w:rPr>
        <w:t>静电干扰，保证设备抗电磁干扰能力。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b/>
          <w:bCs w:val="0"/>
          <w:sz w:val="24"/>
          <w:szCs w:val="24"/>
        </w:rPr>
      </w:pP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Times New Roman" w:hAnsi="Times New Roman" w:eastAsia="Times New Roman"/>
          <w:b/>
          <w:bCs w:val="0"/>
          <w:sz w:val="24"/>
          <w:szCs w:val="24"/>
        </w:rPr>
        <w:t xml:space="preserve">ETC </w:t>
      </w:r>
      <w:r>
        <w:rPr>
          <w:rFonts w:hint="eastAsia" w:ascii="宋体" w:hAnsi="宋体" w:eastAsia="宋体"/>
          <w:b/>
          <w:bCs w:val="0"/>
          <w:sz w:val="24"/>
          <w:szCs w:val="24"/>
        </w:rPr>
        <w:t>车道天线控制器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符合《取消高速公路省界收费站总体技术方案》、《取消高速公路省界收费站工程建设方案》、《高速公路</w:t>
      </w:r>
      <w:r>
        <w:rPr>
          <w:rFonts w:hint="default" w:ascii="宋体" w:hAnsi="宋体" w:eastAsia="宋体"/>
          <w:sz w:val="24"/>
          <w:szCs w:val="24"/>
        </w:rPr>
        <w:t xml:space="preserve">ETC </w:t>
      </w:r>
      <w:r>
        <w:rPr>
          <w:rFonts w:hint="eastAsia" w:ascii="宋体" w:hAnsi="宋体" w:eastAsia="宋体"/>
          <w:sz w:val="24"/>
          <w:szCs w:val="24"/>
        </w:rPr>
        <w:t>门架系统技术要求》的相关规定。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应具备 </w:t>
      </w:r>
      <w:r>
        <w:rPr>
          <w:rFonts w:hint="default" w:ascii="宋体" w:hAnsi="宋体" w:eastAsia="宋体"/>
          <w:sz w:val="24"/>
          <w:szCs w:val="24"/>
        </w:rPr>
        <w:t xml:space="preserve">RS-232 </w:t>
      </w:r>
      <w:r>
        <w:rPr>
          <w:rFonts w:hint="eastAsia" w:ascii="宋体" w:hAnsi="宋体" w:eastAsia="宋体"/>
          <w:sz w:val="24"/>
          <w:szCs w:val="24"/>
        </w:rPr>
        <w:t>和以太网口两类接口；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 xml:space="preserve">PSAM </w:t>
      </w:r>
      <w:r>
        <w:rPr>
          <w:rFonts w:hint="eastAsia" w:ascii="宋体" w:hAnsi="宋体" w:eastAsia="宋体"/>
          <w:sz w:val="24"/>
          <w:szCs w:val="24"/>
        </w:rPr>
        <w:t>卡插槽数量：≥4；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含</w:t>
      </w:r>
      <w:r>
        <w:rPr>
          <w:rFonts w:hint="default" w:ascii="宋体" w:hAnsi="宋体" w:eastAsia="宋体"/>
          <w:sz w:val="24"/>
          <w:szCs w:val="24"/>
        </w:rPr>
        <w:t xml:space="preserve">PSAM </w:t>
      </w:r>
      <w:r>
        <w:rPr>
          <w:rFonts w:hint="eastAsia" w:ascii="宋体" w:hAnsi="宋体" w:eastAsia="宋体"/>
          <w:sz w:val="24"/>
          <w:szCs w:val="24"/>
        </w:rPr>
        <w:t>卡密码卡；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支持联机进行远程设备维护及设备管理，可实现设备故障告警、远程诊断、维护、固件升级等功能；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具有</w:t>
      </w:r>
      <w:r>
        <w:rPr>
          <w:rFonts w:hint="default" w:ascii="宋体" w:hAnsi="宋体" w:eastAsia="宋体"/>
          <w:sz w:val="24"/>
          <w:szCs w:val="24"/>
        </w:rPr>
        <w:t xml:space="preserve">LED </w:t>
      </w:r>
      <w:r>
        <w:rPr>
          <w:rFonts w:hint="eastAsia" w:ascii="宋体" w:hAnsi="宋体" w:eastAsia="宋体"/>
          <w:sz w:val="24"/>
          <w:szCs w:val="24"/>
        </w:rPr>
        <w:t>指示灯，人机界面向用户提示信息，如</w:t>
      </w:r>
      <w:r>
        <w:rPr>
          <w:rFonts w:hint="default" w:ascii="宋体" w:hAnsi="宋体" w:eastAsia="宋体"/>
          <w:sz w:val="24"/>
          <w:szCs w:val="24"/>
        </w:rPr>
        <w:t xml:space="preserve">PSAM </w:t>
      </w:r>
      <w:r>
        <w:rPr>
          <w:rFonts w:hint="eastAsia" w:ascii="宋体" w:hAnsi="宋体" w:eastAsia="宋体"/>
          <w:sz w:val="24"/>
          <w:szCs w:val="24"/>
        </w:rPr>
        <w:t>卡、</w:t>
      </w:r>
      <w:r>
        <w:rPr>
          <w:rFonts w:hint="default" w:ascii="宋体" w:hAnsi="宋体" w:eastAsia="宋体"/>
          <w:sz w:val="24"/>
          <w:szCs w:val="24"/>
        </w:rPr>
        <w:t xml:space="preserve">PCI\PCI-E </w:t>
      </w:r>
      <w:r>
        <w:rPr>
          <w:rFonts w:hint="eastAsia" w:ascii="宋体" w:hAnsi="宋体" w:eastAsia="宋体"/>
          <w:sz w:val="24"/>
          <w:szCs w:val="24"/>
        </w:rPr>
        <w:t>状态、</w:t>
      </w:r>
      <w:r>
        <w:rPr>
          <w:rFonts w:hint="default" w:ascii="宋体" w:hAnsi="宋体" w:eastAsia="宋体"/>
          <w:sz w:val="24"/>
          <w:szCs w:val="24"/>
        </w:rPr>
        <w:t xml:space="preserve">RSU </w:t>
      </w:r>
      <w:r>
        <w:rPr>
          <w:rFonts w:hint="eastAsia" w:ascii="宋体" w:hAnsi="宋体" w:eastAsia="宋体"/>
          <w:sz w:val="24"/>
          <w:szCs w:val="24"/>
        </w:rPr>
        <w:t>设备功率等级、</w:t>
      </w:r>
      <w:r>
        <w:rPr>
          <w:rFonts w:hint="default" w:ascii="宋体" w:hAnsi="宋体" w:eastAsia="宋体"/>
          <w:sz w:val="24"/>
          <w:szCs w:val="24"/>
        </w:rPr>
        <w:t xml:space="preserve">RSU </w:t>
      </w:r>
      <w:r>
        <w:rPr>
          <w:rFonts w:hint="eastAsia" w:ascii="宋体" w:hAnsi="宋体" w:eastAsia="宋体"/>
          <w:sz w:val="24"/>
          <w:szCs w:val="24"/>
        </w:rPr>
        <w:t>网络连接状态等；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免维护寿命应不低于</w:t>
      </w:r>
      <w:r>
        <w:rPr>
          <w:rFonts w:hint="default" w:ascii="宋体" w:hAnsi="宋体" w:eastAsia="宋体"/>
          <w:sz w:val="24"/>
          <w:szCs w:val="24"/>
        </w:rPr>
        <w:t xml:space="preserve">70,000 </w:t>
      </w:r>
      <w:r>
        <w:rPr>
          <w:rFonts w:hint="eastAsia" w:ascii="宋体" w:hAnsi="宋体" w:eastAsia="宋体"/>
          <w:sz w:val="24"/>
          <w:szCs w:val="24"/>
        </w:rPr>
        <w:t>小时；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工作环境温度：</w:t>
      </w:r>
      <w:r>
        <w:rPr>
          <w:rFonts w:hint="default"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</w:rPr>
        <w:t>20℃~+80℃；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工作温度：</w:t>
      </w:r>
      <w:r>
        <w:rPr>
          <w:rFonts w:hint="default"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</w:rPr>
        <w:t>40℃～+85℃；</w:t>
      </w:r>
    </w:p>
    <w:p>
      <w:pPr>
        <w:spacing w:beforeLines="0" w:afterLines="0"/>
        <w:jc w:val="left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采用三级防雷防静电技术，可耐</w:t>
      </w:r>
      <w:r>
        <w:rPr>
          <w:rFonts w:hint="default" w:ascii="宋体" w:hAnsi="宋体" w:eastAsia="宋体"/>
          <w:sz w:val="24"/>
          <w:szCs w:val="24"/>
        </w:rPr>
        <w:t xml:space="preserve">4kV </w:t>
      </w:r>
      <w:r>
        <w:rPr>
          <w:rFonts w:hint="eastAsia" w:ascii="宋体" w:hAnsi="宋体" w:eastAsia="宋体"/>
          <w:sz w:val="24"/>
          <w:szCs w:val="24"/>
        </w:rPr>
        <w:t>雷击浪涌、</w:t>
      </w:r>
      <w:r>
        <w:rPr>
          <w:rFonts w:hint="default" w:ascii="宋体" w:hAnsi="宋体" w:eastAsia="宋体"/>
          <w:sz w:val="24"/>
          <w:szCs w:val="24"/>
        </w:rPr>
        <w:t xml:space="preserve">8kV </w:t>
      </w:r>
      <w:r>
        <w:rPr>
          <w:rFonts w:hint="eastAsia" w:ascii="宋体" w:hAnsi="宋体" w:eastAsia="宋体"/>
          <w:sz w:val="24"/>
          <w:szCs w:val="24"/>
        </w:rPr>
        <w:t>静电干扰，保证设备抗电磁干扰能力。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20A23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762CBE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212BC1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05B550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2C511C"/>
    <w:rsid w:val="4B3450B1"/>
    <w:rsid w:val="4BFB311F"/>
    <w:rsid w:val="4CD249A6"/>
    <w:rsid w:val="4DA31AFF"/>
    <w:rsid w:val="4DB34E2F"/>
    <w:rsid w:val="4DB87F36"/>
    <w:rsid w:val="4E507138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6854D8F"/>
    <w:rsid w:val="57BF2D4E"/>
    <w:rsid w:val="587D3DD3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5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2023-12-07T05:44:23Z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