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广东省珠海市香海大桥（含支线工程）机电工程建养一体化施工项目室外设备机柜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广东省珠海市香海大桥（含支线工程）机电工程建养一体化施工项目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珠海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628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室外设备机柜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室外设备机柜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44228.00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技术</w:t>
      </w:r>
      <w:r>
        <w:rPr>
          <w:rFonts w:hint="eastAsia" w:cs="Times New Roman"/>
          <w:b/>
          <w:snapToGrid w:val="0"/>
          <w:kern w:val="0"/>
          <w:sz w:val="24"/>
          <w:szCs w:val="24"/>
          <w:lang w:eastAsia="zh-CN"/>
        </w:rPr>
        <w:t>规范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6  室外设备机柜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机柜采用专用基础落地安装。全天候防风、雨型箱体,进出线孔密封、防水处理；尺寸 700*600*1100mm,防护等级≥IP65；箱体底部预留进线位置、通风部位安装过滤网；箱体内放置电源、断路器、接线端子、温湿度控制器,以及各类浪涌保护器等；电源采用 220VAC±10%输入电压,输出电压及功率等满足设备及机柜内设备的用电需求；接线端子满足设备接线需要并留有一定剩余；配套空调（冷暖型）、电子门锁、动环监测；箱体与其它金属构件需接地良好；设置防护钢网， 防止偷盗及破坏。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7  室外设备机柜</w:t>
      </w:r>
    </w:p>
    <w:p>
      <w:pPr>
        <w:pStyle w:val="7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机柜采用专用基础落地安装。全天候防风、雨型箱体,进出线孔密封、防水处理；尺寸 700*600*1300mm,防护等级≥IP65；箱体底部预留进线位置、通风部位安装过滤网；箱体内放置电源、断路器、接线端子、温湿度控制器,以及各类浪涌保护器等；电源采用 220VAC±10%输入电压,输出电压及功率等满足设备及机柜内设备的用电需求；接线端子满足设备接线需要并留有一定剩余；配套空调（冷暖型）、电子门锁、动环监测；箱体与其它金属构件需接地良好；设置防护钢网， 防止偷盗及破坏。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162418"/>
    <w:rsid w:val="1A786886"/>
    <w:rsid w:val="1C654B13"/>
    <w:rsid w:val="1C9C4CFC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77C1860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A5113F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DF13CCD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8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2023-12-06T11:27:42Z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