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eastAsia="仿宋_GB2312"/>
          <w:b/>
          <w:color w:val="000000"/>
          <w:sz w:val="32"/>
          <w:szCs w:val="32"/>
        </w:rPr>
      </w:pPr>
      <w:r>
        <w:rPr>
          <w:rFonts w:hint="eastAsia" w:ascii="Times New Roman" w:hAnsi="Times New Roman" w:eastAsia="仿宋_GB2312" w:cs="Times New Roman"/>
          <w:b/>
          <w:color w:val="000000"/>
          <w:sz w:val="32"/>
          <w:szCs w:val="32"/>
        </w:rPr>
        <w:t>余杭区东西向快速通道配套（高架花箱及亮化）工程亮化二标段</w:t>
      </w:r>
      <w:r>
        <w:rPr>
          <w:rFonts w:hint="eastAsia" w:eastAsia="仿宋_GB2312" w:cs="Times New Roman"/>
          <w:b/>
          <w:color w:val="000000"/>
          <w:sz w:val="32"/>
          <w:szCs w:val="32"/>
          <w:lang w:val="en-US" w:eastAsia="zh-CN"/>
        </w:rPr>
        <w:t>GPRS</w:t>
      </w:r>
      <w:r>
        <w:rPr>
          <w:rFonts w:hint="eastAsia" w:eastAsia="仿宋_GB2312" w:cs="Times New Roman"/>
          <w:b/>
          <w:color w:val="000000"/>
          <w:sz w:val="32"/>
          <w:szCs w:val="32"/>
          <w:lang w:eastAsia="zh-CN"/>
        </w:rPr>
        <w:t>通讯模块、配电箱、镀锌钢管</w:t>
      </w:r>
      <w:r>
        <w:rPr>
          <w:rFonts w:hint="eastAsia" w:eastAsia="仿宋_GB2312"/>
          <w:b/>
          <w:color w:val="000000"/>
          <w:sz w:val="32"/>
          <w:szCs w:val="32"/>
          <w:lang w:eastAsia="zh-CN"/>
        </w:rPr>
        <w:t>等</w:t>
      </w:r>
      <w:r>
        <w:rPr>
          <w:rFonts w:eastAsia="仿宋_GB2312"/>
          <w:b/>
          <w:color w:val="000000"/>
          <w:sz w:val="32"/>
          <w:szCs w:val="32"/>
        </w:rPr>
        <w:t>采购意向征集公告</w:t>
      </w:r>
    </w:p>
    <w:p>
      <w:pPr>
        <w:spacing w:line="360" w:lineRule="auto"/>
        <w:jc w:val="center"/>
        <w:outlineLvl w:val="1"/>
        <w:rPr>
          <w:sz w:val="24"/>
        </w:rPr>
      </w:pPr>
    </w:p>
    <w:p>
      <w:pPr>
        <w:numPr>
          <w:ilvl w:val="0"/>
          <w:numId w:val="3"/>
        </w:numPr>
        <w:topLinePunct/>
        <w:spacing w:line="360" w:lineRule="auto"/>
        <w:outlineLvl w:val="1"/>
        <w:rPr>
          <w:b/>
          <w:snapToGrid w:val="0"/>
          <w:kern w:val="0"/>
          <w:sz w:val="24"/>
        </w:rPr>
      </w:pPr>
      <w:r>
        <w:rPr>
          <w:b/>
          <w:snapToGrid w:val="0"/>
          <w:kern w:val="0"/>
          <w:sz w:val="24"/>
        </w:rPr>
        <w:t>项目概况</w:t>
      </w:r>
    </w:p>
    <w:p>
      <w:pPr>
        <w:wordWrap w:val="0"/>
        <w:topLinePunct/>
        <w:spacing w:line="360" w:lineRule="auto"/>
        <w:ind w:firstLine="566" w:firstLineChars="236"/>
        <w:rPr>
          <w:bCs/>
          <w:snapToGrid w:val="0"/>
          <w:kern w:val="0"/>
          <w:sz w:val="24"/>
        </w:rPr>
      </w:pPr>
      <w:r>
        <w:rPr>
          <w:bCs/>
          <w:snapToGrid w:val="0"/>
          <w:kern w:val="0"/>
          <w:sz w:val="24"/>
        </w:rPr>
        <w:t>1.1项目名称：</w:t>
      </w:r>
      <w:r>
        <w:rPr>
          <w:rFonts w:hint="eastAsia" w:ascii="Times New Roman" w:hAnsi="Times New Roman" w:eastAsia="宋体" w:cs="Times New Roman"/>
          <w:bCs/>
          <w:snapToGrid w:val="0"/>
          <w:kern w:val="0"/>
          <w:sz w:val="24"/>
        </w:rPr>
        <w:t>余杭区东西向快速通道配套（高架花箱及亮化）工程亮化二标段</w:t>
      </w:r>
    </w:p>
    <w:p>
      <w:pPr>
        <w:wordWrap w:val="0"/>
        <w:topLinePunct/>
        <w:spacing w:line="360" w:lineRule="auto"/>
        <w:ind w:firstLine="566" w:firstLineChars="236"/>
      </w:pPr>
      <w:r>
        <w:rPr>
          <w:bCs/>
          <w:snapToGrid w:val="0"/>
          <w:kern w:val="0"/>
          <w:sz w:val="24"/>
        </w:rPr>
        <w:t>1.2项目地点：</w:t>
      </w:r>
      <w:r>
        <w:rPr>
          <w:rFonts w:hint="eastAsia"/>
          <w:bCs/>
          <w:snapToGrid w:val="0"/>
          <w:kern w:val="0"/>
          <w:sz w:val="24"/>
          <w:lang w:eastAsia="zh-CN"/>
        </w:rPr>
        <w:t>杭州</w:t>
      </w:r>
      <w:r>
        <w:rPr>
          <w:bCs/>
          <w:snapToGrid w:val="0"/>
          <w:kern w:val="0"/>
          <w:sz w:val="24"/>
        </w:rPr>
        <w:t>市</w:t>
      </w:r>
    </w:p>
    <w:p>
      <w:pPr>
        <w:numPr>
          <w:ilvl w:val="0"/>
          <w:numId w:val="3"/>
        </w:numPr>
        <w:topLinePunct/>
        <w:spacing w:line="360" w:lineRule="auto"/>
        <w:outlineLvl w:val="1"/>
        <w:rPr>
          <w:b/>
        </w:rPr>
      </w:pPr>
      <w:r>
        <w:rPr>
          <w:b/>
          <w:snapToGrid w:val="0"/>
          <w:kern w:val="0"/>
          <w:sz w:val="24"/>
        </w:rPr>
        <w:t>具体工程量清单</w:t>
      </w:r>
    </w:p>
    <w:tbl>
      <w:tblPr>
        <w:tblStyle w:val="12"/>
        <w:tblW w:w="9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1669"/>
        <w:gridCol w:w="1533"/>
        <w:gridCol w:w="741"/>
        <w:gridCol w:w="989"/>
        <w:gridCol w:w="2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351" w:type="dxa"/>
            <w:shd w:val="clear" w:color="auto" w:fill="auto"/>
            <w:vAlign w:val="center"/>
          </w:tcPr>
          <w:p>
            <w:pPr>
              <w:spacing w:line="360" w:lineRule="auto"/>
              <w:jc w:val="center"/>
              <w:rPr>
                <w:szCs w:val="21"/>
              </w:rPr>
            </w:pPr>
            <w:r>
              <w:rPr>
                <w:szCs w:val="21"/>
              </w:rPr>
              <w:t>序号</w:t>
            </w:r>
          </w:p>
        </w:tc>
        <w:tc>
          <w:tcPr>
            <w:tcW w:w="1669" w:type="dxa"/>
            <w:shd w:val="clear" w:color="auto" w:fill="auto"/>
            <w:vAlign w:val="center"/>
          </w:tcPr>
          <w:p>
            <w:pPr>
              <w:spacing w:line="360" w:lineRule="auto"/>
              <w:jc w:val="center"/>
              <w:rPr>
                <w:szCs w:val="21"/>
              </w:rPr>
            </w:pPr>
            <w:r>
              <w:rPr>
                <w:szCs w:val="21"/>
              </w:rPr>
              <w:t>材料名称</w:t>
            </w:r>
          </w:p>
        </w:tc>
        <w:tc>
          <w:tcPr>
            <w:tcW w:w="1533" w:type="dxa"/>
            <w:shd w:val="clear" w:color="auto" w:fill="auto"/>
            <w:vAlign w:val="center"/>
          </w:tcPr>
          <w:p>
            <w:pPr>
              <w:spacing w:line="360" w:lineRule="auto"/>
              <w:jc w:val="center"/>
              <w:rPr>
                <w:szCs w:val="21"/>
              </w:rPr>
            </w:pPr>
            <w:r>
              <w:rPr>
                <w:szCs w:val="21"/>
              </w:rPr>
              <w:t>品牌/型号</w:t>
            </w:r>
          </w:p>
        </w:tc>
        <w:tc>
          <w:tcPr>
            <w:tcW w:w="741" w:type="dxa"/>
            <w:shd w:val="clear" w:color="auto" w:fill="auto"/>
            <w:vAlign w:val="center"/>
          </w:tcPr>
          <w:p>
            <w:pPr>
              <w:spacing w:line="360" w:lineRule="auto"/>
              <w:jc w:val="center"/>
              <w:rPr>
                <w:szCs w:val="21"/>
              </w:rPr>
            </w:pPr>
            <w:r>
              <w:rPr>
                <w:szCs w:val="21"/>
              </w:rPr>
              <w:t>单位</w:t>
            </w:r>
          </w:p>
        </w:tc>
        <w:tc>
          <w:tcPr>
            <w:tcW w:w="989" w:type="dxa"/>
            <w:shd w:val="clear" w:color="auto" w:fill="auto"/>
            <w:vAlign w:val="center"/>
          </w:tcPr>
          <w:p>
            <w:pPr>
              <w:spacing w:line="360" w:lineRule="auto"/>
              <w:jc w:val="center"/>
              <w:rPr>
                <w:szCs w:val="21"/>
              </w:rPr>
            </w:pPr>
            <w:r>
              <w:rPr>
                <w:szCs w:val="21"/>
              </w:rPr>
              <w:t>数量</w:t>
            </w:r>
          </w:p>
        </w:tc>
        <w:tc>
          <w:tcPr>
            <w:tcW w:w="2822" w:type="dxa"/>
            <w:shd w:val="clear" w:color="auto" w:fill="auto"/>
            <w:vAlign w:val="center"/>
          </w:tcPr>
          <w:p>
            <w:pPr>
              <w:spacing w:line="360" w:lineRule="auto"/>
              <w:jc w:val="cente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default"/>
                <w:szCs w:val="21"/>
                <w:lang w:val="en-US"/>
              </w:rPr>
            </w:pPr>
            <w:r>
              <w:rPr>
                <w:rFonts w:hint="eastAsia"/>
                <w:szCs w:val="21"/>
                <w:lang w:val="en-US" w:eastAsia="zh-CN"/>
              </w:rPr>
              <w:t>803-1-6-1</w:t>
            </w:r>
          </w:p>
        </w:tc>
        <w:tc>
          <w:tcPr>
            <w:tcW w:w="1669" w:type="dxa"/>
            <w:shd w:val="clear" w:color="auto" w:fill="auto"/>
            <w:vAlign w:val="center"/>
          </w:tcPr>
          <w:p>
            <w:pPr>
              <w:spacing w:line="360" w:lineRule="auto"/>
              <w:jc w:val="center"/>
              <w:rPr>
                <w:rFonts w:hint="default"/>
                <w:szCs w:val="21"/>
                <w:lang w:val="en-US"/>
              </w:rPr>
            </w:pPr>
            <w:r>
              <w:rPr>
                <w:rFonts w:hint="eastAsia"/>
                <w:szCs w:val="21"/>
                <w:lang w:val="en-US" w:eastAsia="zh-CN"/>
              </w:rPr>
              <w:t>GPRS通信模块</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szCs w:val="21"/>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w:t>
            </w:r>
          </w:p>
        </w:tc>
        <w:tc>
          <w:tcPr>
            <w:tcW w:w="2822" w:type="dxa"/>
            <w:shd w:val="clear" w:color="auto" w:fill="auto"/>
            <w:vAlign w:val="center"/>
          </w:tcPr>
          <w:p>
            <w:pPr>
              <w:spacing w:line="360" w:lineRule="auto"/>
              <w:jc w:val="center"/>
              <w:rPr>
                <w:rFonts w:hint="default"/>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803-1-6-2</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主控模块</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w:t>
            </w:r>
          </w:p>
        </w:tc>
        <w:tc>
          <w:tcPr>
            <w:tcW w:w="2822" w:type="dxa"/>
            <w:shd w:val="clear" w:color="auto" w:fill="auto"/>
            <w:vAlign w:val="center"/>
          </w:tcPr>
          <w:p>
            <w:pPr>
              <w:spacing w:line="360" w:lineRule="auto"/>
              <w:jc w:val="center"/>
              <w:rPr>
                <w:rFonts w:hint="default"/>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803-1-6-3</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开关量采集模块</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w:t>
            </w:r>
          </w:p>
        </w:tc>
        <w:tc>
          <w:tcPr>
            <w:tcW w:w="2822" w:type="dxa"/>
            <w:shd w:val="clear" w:color="auto" w:fill="auto"/>
            <w:vAlign w:val="center"/>
          </w:tcPr>
          <w:p>
            <w:pPr>
              <w:spacing w:line="360" w:lineRule="auto"/>
              <w:jc w:val="center"/>
              <w:rPr>
                <w:rFonts w:hint="default"/>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803-1-6-4</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电参量采集模块</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w:t>
            </w:r>
          </w:p>
        </w:tc>
        <w:tc>
          <w:tcPr>
            <w:tcW w:w="2822" w:type="dxa"/>
            <w:shd w:val="clear" w:color="auto" w:fill="auto"/>
            <w:vAlign w:val="center"/>
          </w:tcPr>
          <w:p>
            <w:pPr>
              <w:spacing w:line="360" w:lineRule="auto"/>
              <w:jc w:val="center"/>
              <w:rPr>
                <w:rFonts w:hint="default"/>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804-13</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智能远程电力监控系统主控柜（不含弱电和强电模块）含基础槽钢安装</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台</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w:t>
            </w:r>
          </w:p>
        </w:tc>
        <w:tc>
          <w:tcPr>
            <w:tcW w:w="2822" w:type="dxa"/>
            <w:shd w:val="clear" w:color="auto" w:fill="auto"/>
            <w:vAlign w:val="center"/>
          </w:tcPr>
          <w:p>
            <w:pPr>
              <w:spacing w:line="360" w:lineRule="auto"/>
              <w:jc w:val="center"/>
              <w:rPr>
                <w:rFonts w:hint="default"/>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805-1-1</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系统编程调试软件</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1</w:t>
            </w:r>
          </w:p>
        </w:tc>
        <w:tc>
          <w:tcPr>
            <w:tcW w:w="2822" w:type="dxa"/>
            <w:shd w:val="clear" w:color="auto" w:fill="auto"/>
            <w:vAlign w:val="center"/>
          </w:tcPr>
          <w:p>
            <w:pPr>
              <w:spacing w:line="360" w:lineRule="auto"/>
              <w:jc w:val="center"/>
              <w:rPr>
                <w:rFonts w:hint="default"/>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807-4-1-1</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瓶仓大道C、D匝道照明配电箱，不含控制模块</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台</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1</w:t>
            </w:r>
          </w:p>
        </w:tc>
        <w:tc>
          <w:tcPr>
            <w:tcW w:w="2822" w:type="dxa"/>
            <w:shd w:val="clear" w:color="auto" w:fill="auto"/>
            <w:vAlign w:val="center"/>
          </w:tcPr>
          <w:p>
            <w:pPr>
              <w:spacing w:line="360" w:lineRule="auto"/>
              <w:jc w:val="center"/>
              <w:rPr>
                <w:rFonts w:hint="default"/>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807-4-1-2</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瓶仓大道E匝道照明配电箱,不含控制模块</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台</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1</w:t>
            </w:r>
          </w:p>
        </w:tc>
        <w:tc>
          <w:tcPr>
            <w:tcW w:w="2822" w:type="dxa"/>
            <w:shd w:val="clear" w:color="auto" w:fill="auto"/>
            <w:vAlign w:val="center"/>
          </w:tcPr>
          <w:p>
            <w:pPr>
              <w:spacing w:line="360" w:lineRule="auto"/>
              <w:jc w:val="center"/>
              <w:rPr>
                <w:rFonts w:hint="default"/>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807-4-1-3</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瓶仓大道F匝道照明配电箱,不含控制模块</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台</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1</w:t>
            </w:r>
          </w:p>
        </w:tc>
        <w:tc>
          <w:tcPr>
            <w:tcW w:w="2822" w:type="dxa"/>
            <w:shd w:val="clear" w:color="auto" w:fill="auto"/>
            <w:vAlign w:val="center"/>
          </w:tcPr>
          <w:p>
            <w:pPr>
              <w:spacing w:line="360" w:lineRule="auto"/>
              <w:jc w:val="center"/>
              <w:rPr>
                <w:rFonts w:hint="default"/>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807-4-1-4</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瓶仓大道G匝道照明配电箱,不含控制模块</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台</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1</w:t>
            </w:r>
          </w:p>
        </w:tc>
        <w:tc>
          <w:tcPr>
            <w:tcW w:w="2822" w:type="dxa"/>
            <w:shd w:val="clear" w:color="auto" w:fill="auto"/>
            <w:vAlign w:val="center"/>
          </w:tcPr>
          <w:p>
            <w:pPr>
              <w:spacing w:line="360" w:lineRule="auto"/>
              <w:jc w:val="center"/>
              <w:rPr>
                <w:rFonts w:hint="default"/>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807-4-1-5</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瓶仓大道H匝道照明配电箱,不含控制模块</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台</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1</w:t>
            </w:r>
          </w:p>
        </w:tc>
        <w:tc>
          <w:tcPr>
            <w:tcW w:w="2822" w:type="dxa"/>
            <w:shd w:val="clear" w:color="auto" w:fill="auto"/>
            <w:vAlign w:val="center"/>
          </w:tcPr>
          <w:p>
            <w:pPr>
              <w:spacing w:line="360" w:lineRule="auto"/>
              <w:jc w:val="center"/>
              <w:rPr>
                <w:rFonts w:hint="default"/>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807-4-1-6</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瓶仓大道J匝道照明配电箱,不含控制模块</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台</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2</w:t>
            </w:r>
          </w:p>
        </w:tc>
        <w:tc>
          <w:tcPr>
            <w:tcW w:w="2822" w:type="dxa"/>
            <w:shd w:val="clear" w:color="auto" w:fill="auto"/>
            <w:vAlign w:val="center"/>
          </w:tcPr>
          <w:p>
            <w:pPr>
              <w:spacing w:line="360" w:lineRule="auto"/>
              <w:jc w:val="center"/>
              <w:rPr>
                <w:rFonts w:hint="default"/>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807-4-1-7</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瓶仓大道A、B匝道照明配电箱,不含控制模块</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台</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1</w:t>
            </w:r>
          </w:p>
        </w:tc>
        <w:tc>
          <w:tcPr>
            <w:tcW w:w="2822" w:type="dxa"/>
            <w:shd w:val="clear" w:color="auto" w:fill="auto"/>
            <w:vAlign w:val="center"/>
          </w:tcPr>
          <w:p>
            <w:pPr>
              <w:spacing w:line="360" w:lineRule="auto"/>
              <w:jc w:val="center"/>
              <w:rPr>
                <w:rFonts w:hint="default"/>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809-1-1</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可绕金属管 LV5/24#</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m</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5676</w:t>
            </w:r>
          </w:p>
        </w:tc>
        <w:tc>
          <w:tcPr>
            <w:tcW w:w="2822" w:type="dxa"/>
            <w:shd w:val="clear" w:color="auto" w:fill="auto"/>
            <w:vAlign w:val="center"/>
          </w:tcPr>
          <w:p>
            <w:pPr>
              <w:spacing w:line="360" w:lineRule="auto"/>
              <w:jc w:val="center"/>
              <w:rPr>
                <w:rFonts w:hint="default"/>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809-1-2-2</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镀锌钢管 SC100</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m</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1375</w:t>
            </w:r>
          </w:p>
        </w:tc>
        <w:tc>
          <w:tcPr>
            <w:tcW w:w="2822" w:type="dxa"/>
            <w:shd w:val="clear" w:color="auto" w:fill="auto"/>
            <w:vAlign w:val="center"/>
          </w:tcPr>
          <w:p>
            <w:pPr>
              <w:spacing w:line="360" w:lineRule="auto"/>
              <w:jc w:val="center"/>
              <w:rPr>
                <w:rFonts w:hint="default"/>
                <w:szCs w:val="21"/>
                <w:lang w:val="en-US" w:eastAsia="zh-CN"/>
              </w:rPr>
            </w:pPr>
          </w:p>
        </w:tc>
      </w:tr>
    </w:tbl>
    <w:p>
      <w:pPr>
        <w:wordWrap w:val="0"/>
        <w:topLinePunct/>
        <w:spacing w:line="360" w:lineRule="auto"/>
        <w:ind w:firstLine="566" w:firstLineChars="236"/>
        <w:rPr>
          <w:bCs/>
          <w:snapToGrid w:val="0"/>
          <w:kern w:val="0"/>
          <w:sz w:val="24"/>
        </w:rPr>
      </w:pPr>
      <w:r>
        <w:rPr>
          <w:bCs/>
          <w:snapToGrid w:val="0"/>
          <w:kern w:val="0"/>
          <w:sz w:val="24"/>
        </w:rPr>
        <w:t>清单说明：</w:t>
      </w:r>
    </w:p>
    <w:p>
      <w:pPr>
        <w:numPr>
          <w:ilvl w:val="0"/>
          <w:numId w:val="4"/>
        </w:numPr>
        <w:wordWrap w:val="0"/>
        <w:topLinePunct/>
        <w:spacing w:line="360" w:lineRule="auto"/>
        <w:ind w:firstLine="566" w:firstLineChars="236"/>
      </w:pPr>
      <w:r>
        <w:rPr>
          <w:bCs/>
          <w:snapToGrid w:val="0"/>
          <w:kern w:val="0"/>
          <w:sz w:val="24"/>
        </w:rPr>
        <w:t>包括运输、</w:t>
      </w:r>
      <w:r>
        <w:rPr>
          <w:rFonts w:hint="eastAsia"/>
          <w:bCs/>
          <w:snapToGrid w:val="0"/>
          <w:kern w:val="0"/>
          <w:sz w:val="24"/>
          <w:lang w:val="en-US" w:eastAsia="zh-CN"/>
        </w:rPr>
        <w:t>指导</w:t>
      </w:r>
      <w:r>
        <w:rPr>
          <w:bCs/>
          <w:snapToGrid w:val="0"/>
          <w:kern w:val="0"/>
          <w:sz w:val="24"/>
        </w:rPr>
        <w:t>安装调试</w:t>
      </w:r>
      <w:r>
        <w:rPr>
          <w:rFonts w:hint="eastAsia"/>
          <w:bCs/>
          <w:snapToGrid w:val="0"/>
          <w:kern w:val="0"/>
          <w:sz w:val="24"/>
          <w:lang w:val="en-US" w:eastAsia="zh-CN"/>
        </w:rPr>
        <w:t>费</w:t>
      </w:r>
      <w:r>
        <w:rPr>
          <w:bCs/>
          <w:snapToGrid w:val="0"/>
          <w:kern w:val="0"/>
          <w:sz w:val="24"/>
        </w:rPr>
        <w:t>、保险费、税费、试运行及缺陷的维护等一切费用；</w:t>
      </w:r>
    </w:p>
    <w:p>
      <w:pPr>
        <w:pStyle w:val="6"/>
        <w:numPr>
          <w:ilvl w:val="0"/>
          <w:numId w:val="4"/>
        </w:numPr>
        <w:ind w:firstLine="566" w:firstLineChars="236"/>
        <w:rPr>
          <w:bCs/>
          <w:snapToGrid w:val="0"/>
          <w:kern w:val="0"/>
          <w:sz w:val="24"/>
        </w:rPr>
      </w:pPr>
      <w:r>
        <w:rPr>
          <w:bCs/>
          <w:snapToGrid w:val="0"/>
          <w:kern w:val="0"/>
          <w:sz w:val="24"/>
        </w:rPr>
        <w:t>质保期：两年；</w:t>
      </w:r>
    </w:p>
    <w:p>
      <w:pPr>
        <w:pStyle w:val="6"/>
        <w:numPr>
          <w:ilvl w:val="0"/>
          <w:numId w:val="4"/>
        </w:numPr>
        <w:ind w:firstLine="566" w:firstLineChars="236"/>
        <w:rPr>
          <w:rFonts w:hint="eastAsia"/>
          <w:szCs w:val="21"/>
          <w:lang w:val="en-US" w:eastAsia="zh-CN"/>
        </w:rPr>
      </w:pPr>
      <w:r>
        <w:rPr>
          <w:bCs/>
          <w:snapToGrid w:val="0"/>
          <w:kern w:val="0"/>
          <w:sz w:val="24"/>
        </w:rPr>
        <w:t>最高限价：</w:t>
      </w:r>
      <w:r>
        <w:rPr>
          <w:rFonts w:hint="eastAsia"/>
          <w:bCs/>
          <w:snapToGrid w:val="0"/>
          <w:kern w:val="0"/>
          <w:sz w:val="24"/>
          <w:lang w:val="en-US" w:eastAsia="zh-CN"/>
        </w:rPr>
        <w:t>361221.5</w:t>
      </w:r>
      <w:bookmarkStart w:id="3" w:name="_GoBack"/>
      <w:bookmarkEnd w:id="3"/>
      <w:r>
        <w:rPr>
          <w:bCs/>
          <w:snapToGrid w:val="0"/>
          <w:color w:val="auto"/>
          <w:kern w:val="0"/>
          <w:sz w:val="24"/>
        </w:rPr>
        <w:t>0</w:t>
      </w:r>
      <w:r>
        <w:rPr>
          <w:bCs/>
          <w:snapToGrid w:val="0"/>
          <w:kern w:val="0"/>
          <w:sz w:val="24"/>
        </w:rPr>
        <w:t>元。</w:t>
      </w:r>
    </w:p>
    <w:p>
      <w:pPr>
        <w:pStyle w:val="6"/>
        <w:numPr>
          <w:ilvl w:val="0"/>
          <w:numId w:val="0"/>
        </w:numPr>
        <w:rPr>
          <w:rFonts w:hint="default"/>
          <w:b/>
          <w:bCs w:val="0"/>
          <w:snapToGrid w:val="0"/>
          <w:kern w:val="0"/>
          <w:sz w:val="24"/>
          <w:lang w:val="en-US" w:eastAsia="zh-CN"/>
        </w:rPr>
      </w:pPr>
      <w:r>
        <w:rPr>
          <w:rFonts w:hint="eastAsia"/>
          <w:b/>
          <w:bCs w:val="0"/>
          <w:snapToGrid w:val="0"/>
          <w:kern w:val="0"/>
          <w:sz w:val="24"/>
          <w:lang w:val="en-US" w:eastAsia="zh-CN"/>
        </w:rPr>
        <w:t>3.技术参数</w:t>
      </w:r>
    </w:p>
    <w:p>
      <w:pPr>
        <w:numPr>
          <w:ilvl w:val="0"/>
          <w:numId w:val="0"/>
        </w:numPr>
        <w:wordWrap w:val="0"/>
        <w:topLinePunct/>
        <w:spacing w:line="360" w:lineRule="auto"/>
        <w:rPr>
          <w:rFonts w:hint="eastAsia"/>
          <w:b/>
          <w:bCs w:val="0"/>
          <w:snapToGrid w:val="0"/>
          <w:kern w:val="0"/>
          <w:sz w:val="24"/>
          <w:lang w:val="en-US" w:eastAsia="zh-CN"/>
        </w:rPr>
      </w:pPr>
      <w:r>
        <w:rPr>
          <w:rFonts w:hint="eastAsia"/>
          <w:b/>
          <w:bCs w:val="0"/>
          <w:snapToGrid w:val="0"/>
          <w:kern w:val="0"/>
          <w:sz w:val="24"/>
          <w:lang w:val="en-US" w:eastAsia="zh-CN"/>
        </w:rPr>
        <w:t>1.配电箱及控制箱</w:t>
      </w:r>
    </w:p>
    <w:p>
      <w:pPr>
        <w:numPr>
          <w:ilvl w:val="0"/>
          <w:numId w:val="0"/>
        </w:numPr>
        <w:wordWrap w:val="0"/>
        <w:topLinePunct/>
        <w:spacing w:line="360" w:lineRule="auto"/>
        <w:rPr>
          <w:rFonts w:hint="eastAsia"/>
          <w:bCs/>
          <w:snapToGrid w:val="0"/>
          <w:kern w:val="0"/>
          <w:sz w:val="24"/>
        </w:rPr>
      </w:pPr>
      <w:r>
        <w:rPr>
          <w:rFonts w:hint="eastAsia"/>
          <w:bCs/>
          <w:snapToGrid w:val="0"/>
          <w:kern w:val="0"/>
          <w:sz w:val="24"/>
        </w:rPr>
        <w:pict>
          <v:shape id="文本框 6" o:spid="_x0000_s1026" o:spt="202" type="#_x0000_t202" style="position:absolute;left:0pt;margin-left:1099pt;margin-top:8.05pt;height:21.35pt;width:35.3pt;z-index:251659264;mso-width-relative:page;mso-height-relative:page;" filled="f" stroked="f" coordsize="21600,21600" o:gfxdata="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O7wIHZAAAACwEAAA8AAAAAAAAAAQAgAAAAIgAAAGRycy9kb3ducmV2LnhtbFBLAQIU&#10;ABQAAAAIAIdO4kBjSF+IuQEAAHEDAAAOAAAAAAAAAAEAIAAAACgBAABkcnMvZTJvRG9jLnhtbFBL&#10;BQYAAAAABgAGAFkBAABTBQAAAAA=&#10;">
            <v:path/>
            <v:fill on="f" focussize="0,0"/>
            <v:stroke on="f"/>
            <v:imagedata o:title=""/>
            <o:lock v:ext="edit" aspectratio="f"/>
            <v:textbox inset="0mm,0mm,0mm,0mm">
              <w:txbxContent>
                <w:p>
                  <w:pPr>
                    <w:spacing w:before="20" w:line="223" w:lineRule="auto"/>
                    <w:ind w:left="20"/>
                    <w:rPr>
                      <w:rFonts w:ascii="仿宋" w:hAnsi="仿宋" w:eastAsia="仿宋" w:cs="仿宋"/>
                      <w:sz w:val="32"/>
                      <w:szCs w:val="32"/>
                    </w:rPr>
                  </w:pPr>
                  <w:r>
                    <w:rPr>
                      <w:rFonts w:ascii="仿宋" w:hAnsi="仿宋" w:eastAsia="仿宋" w:cs="仿宋"/>
                      <w:spacing w:val="-29"/>
                      <w:w w:val="80"/>
                      <w:sz w:val="32"/>
                      <w:szCs w:val="32"/>
                    </w:rPr>
                    <w:t>版</w:t>
                  </w:r>
                  <w:r>
                    <w:rPr>
                      <w:rFonts w:ascii="仿宋" w:hAnsi="仿宋" w:eastAsia="仿宋" w:cs="仿宋"/>
                      <w:spacing w:val="50"/>
                      <w:sz w:val="32"/>
                      <w:szCs w:val="32"/>
                    </w:rPr>
                    <w:t xml:space="preserve"> </w:t>
                  </w:r>
                  <w:r>
                    <w:rPr>
                      <w:rFonts w:ascii="仿宋" w:hAnsi="仿宋" w:eastAsia="仿宋" w:cs="仿宋"/>
                      <w:spacing w:val="-29"/>
                      <w:w w:val="80"/>
                      <w:sz w:val="32"/>
                      <w:szCs w:val="32"/>
                    </w:rPr>
                    <w:t>次</w:t>
                  </w:r>
                </w:p>
              </w:txbxContent>
            </v:textbox>
          </v:shape>
        </w:pict>
      </w:r>
      <w:r>
        <w:rPr>
          <w:rFonts w:hint="eastAsia"/>
          <w:bCs/>
          <w:snapToGrid w:val="0"/>
          <w:kern w:val="0"/>
          <w:sz w:val="24"/>
          <w:lang w:val="en-US" w:eastAsia="zh-CN"/>
        </w:rPr>
        <w:t>参数：</w:t>
      </w:r>
      <w:r>
        <w:rPr>
          <w:rFonts w:hint="eastAsia"/>
          <w:bCs/>
          <w:snapToGrid w:val="0"/>
          <w:kern w:val="0"/>
          <w:sz w:val="24"/>
        </w:rPr>
        <w:t>1.配电箱采用户外式，防护等级IP65,采用双层门结构，所有的按钮及仪表全部内置。</w:t>
      </w:r>
    </w:p>
    <w:p>
      <w:pPr>
        <w:numPr>
          <w:ilvl w:val="0"/>
          <w:numId w:val="0"/>
        </w:numPr>
        <w:wordWrap w:val="0"/>
        <w:topLinePunct/>
        <w:spacing w:line="360" w:lineRule="auto"/>
        <w:rPr>
          <w:rFonts w:hint="eastAsia"/>
          <w:bCs/>
          <w:snapToGrid w:val="0"/>
          <w:kern w:val="0"/>
          <w:sz w:val="24"/>
        </w:rPr>
      </w:pPr>
      <w:r>
        <w:rPr>
          <w:rFonts w:hint="eastAsia"/>
          <w:bCs/>
          <w:snapToGrid w:val="0"/>
          <w:kern w:val="0"/>
          <w:sz w:val="24"/>
          <w:lang w:val="en-US" w:eastAsia="zh-CN"/>
        </w:rPr>
        <w:t>2</w:t>
      </w:r>
      <w:r>
        <w:rPr>
          <w:rFonts w:hint="eastAsia"/>
          <w:bCs/>
          <w:snapToGrid w:val="0"/>
          <w:kern w:val="0"/>
          <w:sz w:val="24"/>
        </w:rPr>
        <w:t>.配电箱采用落地安装。</w:t>
      </w:r>
    </w:p>
    <w:p>
      <w:pPr>
        <w:numPr>
          <w:ilvl w:val="0"/>
          <w:numId w:val="0"/>
        </w:numPr>
        <w:wordWrap w:val="0"/>
        <w:topLinePunct/>
        <w:spacing w:line="360" w:lineRule="auto"/>
        <w:rPr>
          <w:rFonts w:hint="eastAsia"/>
          <w:bCs/>
          <w:snapToGrid w:val="0"/>
          <w:kern w:val="0"/>
          <w:sz w:val="24"/>
          <w:lang w:val="en-US" w:eastAsia="zh-CN"/>
        </w:rPr>
      </w:pPr>
      <w:r>
        <w:rPr>
          <w:rFonts w:hint="eastAsia"/>
          <w:bCs/>
          <w:snapToGrid w:val="0"/>
          <w:kern w:val="0"/>
          <w:sz w:val="24"/>
          <w:lang w:val="en-US" w:eastAsia="zh-CN"/>
        </w:rPr>
        <w:t>3.</w:t>
      </w:r>
      <w:r>
        <w:rPr>
          <w:rFonts w:hint="eastAsia"/>
          <w:bCs/>
          <w:snapToGrid w:val="0"/>
          <w:kern w:val="0"/>
          <w:sz w:val="24"/>
        </w:rPr>
        <w:t>KM1~KMN为智能远程控制开关符号，</w:t>
      </w:r>
    </w:p>
    <w:p>
      <w:pPr>
        <w:numPr>
          <w:ilvl w:val="0"/>
          <w:numId w:val="0"/>
        </w:numPr>
        <w:wordWrap w:val="0"/>
        <w:topLinePunct/>
        <w:spacing w:line="360" w:lineRule="auto"/>
        <w:rPr>
          <w:rFonts w:hint="eastAsia"/>
          <w:bCs/>
          <w:snapToGrid w:val="0"/>
          <w:kern w:val="0"/>
          <w:sz w:val="24"/>
        </w:rPr>
      </w:pPr>
      <w:r>
        <w:rPr>
          <w:rFonts w:hint="eastAsia"/>
          <w:bCs/>
          <w:snapToGrid w:val="0"/>
          <w:kern w:val="0"/>
          <w:sz w:val="24"/>
          <w:lang w:val="en-US" w:eastAsia="zh-CN"/>
        </w:rPr>
        <w:t>4.</w:t>
      </w:r>
      <w:r>
        <w:rPr>
          <w:rFonts w:hint="eastAsia"/>
          <w:bCs/>
          <w:snapToGrid w:val="0"/>
          <w:kern w:val="0"/>
          <w:sz w:val="24"/>
        </w:rPr>
        <w:t>照明控制装置应具有烟感报警、自动灭火、温感、摄像头、积水报警、开门报警</w:t>
      </w:r>
      <w:r>
        <w:rPr>
          <w:rFonts w:hint="eastAsia"/>
          <w:bCs/>
          <w:snapToGrid w:val="0"/>
          <w:kern w:val="0"/>
          <w:sz w:val="24"/>
          <w:lang w:eastAsia="zh-CN"/>
        </w:rPr>
        <w:t>、</w:t>
      </w:r>
      <w:r>
        <w:rPr>
          <w:rFonts w:hint="eastAsia"/>
          <w:bCs/>
          <w:snapToGrid w:val="0"/>
          <w:kern w:val="0"/>
          <w:sz w:val="24"/>
        </w:rPr>
        <w:t>浪涌保护、漏电电流检测监测、相线温度检测监测、智能门锁、远程通信功能，且安装监控终端单元装置，监控终端单元装置应能将监测信息能实时主动上传至上级照明管理平台</w:t>
      </w:r>
    </w:p>
    <w:p>
      <w:pPr>
        <w:numPr>
          <w:ilvl w:val="0"/>
          <w:numId w:val="0"/>
        </w:numPr>
        <w:wordWrap w:val="0"/>
        <w:topLinePunct/>
        <w:spacing w:line="360" w:lineRule="auto"/>
        <w:rPr>
          <w:rFonts w:hint="eastAsia"/>
          <w:bCs/>
          <w:snapToGrid w:val="0"/>
          <w:kern w:val="0"/>
          <w:sz w:val="24"/>
          <w:lang w:eastAsia="zh-CN"/>
        </w:rPr>
      </w:pPr>
      <w:r>
        <w:rPr>
          <w:rFonts w:hint="eastAsia"/>
          <w:bCs/>
          <w:snapToGrid w:val="0"/>
          <w:kern w:val="0"/>
          <w:sz w:val="24"/>
        </w:rPr>
        <w:t>5.单灯设置安装单灯控制器，控制器支持NB-1oT远程通信，可具有开关控制和电压、电流、功率监测、调光输出等功能</w:t>
      </w:r>
      <w:r>
        <w:rPr>
          <w:rFonts w:hint="eastAsia"/>
          <w:bCs/>
          <w:snapToGrid w:val="0"/>
          <w:kern w:val="0"/>
          <w:sz w:val="24"/>
          <w:lang w:eastAsia="zh-CN"/>
        </w:rPr>
        <w:t>。</w:t>
      </w:r>
    </w:p>
    <w:p>
      <w:pPr>
        <w:numPr>
          <w:ilvl w:val="0"/>
          <w:numId w:val="0"/>
        </w:numPr>
        <w:wordWrap w:val="0"/>
        <w:topLinePunct/>
        <w:spacing w:line="360" w:lineRule="auto"/>
        <w:ind w:firstLine="420" w:firstLineChars="200"/>
        <w:rPr>
          <w:rFonts w:hint="eastAsia"/>
          <w:color w:val="FF0000"/>
          <w:szCs w:val="21"/>
          <w:lang w:val="en-US" w:eastAsia="zh-CN"/>
        </w:rPr>
      </w:pPr>
      <w:r>
        <w:rPr>
          <w:rFonts w:hint="eastAsia"/>
          <w:color w:val="FF0000"/>
          <w:szCs w:val="21"/>
          <w:lang w:val="en-US" w:eastAsia="zh-CN"/>
        </w:rPr>
        <w:t>配电箱相当于或高于杭开、鸿雁、白象等品牌技术性能要求；配电箱内电气元件相当于或高于ABB、施耐德、西门子等品牌技术性能要求</w:t>
      </w:r>
    </w:p>
    <w:p>
      <w:pPr>
        <w:numPr>
          <w:ilvl w:val="0"/>
          <w:numId w:val="0"/>
        </w:numPr>
        <w:wordWrap w:val="0"/>
        <w:topLinePunct/>
        <w:spacing w:line="360" w:lineRule="auto"/>
        <w:rPr>
          <w:rFonts w:hint="eastAsia"/>
          <w:szCs w:val="21"/>
          <w:lang w:val="en-US" w:eastAsia="zh-CN"/>
        </w:rPr>
      </w:pPr>
    </w:p>
    <w:p>
      <w:pPr>
        <w:numPr>
          <w:ilvl w:val="0"/>
          <w:numId w:val="0"/>
        </w:numPr>
        <w:wordWrap w:val="0"/>
        <w:topLinePunct/>
        <w:spacing w:line="360" w:lineRule="auto"/>
        <w:rPr>
          <w:rFonts w:hint="eastAsia"/>
          <w:b/>
          <w:bCs w:val="0"/>
          <w:snapToGrid w:val="0"/>
          <w:kern w:val="0"/>
          <w:sz w:val="24"/>
          <w:lang w:val="en-US" w:eastAsia="zh-CN"/>
        </w:rPr>
      </w:pPr>
      <w:r>
        <w:rPr>
          <w:rFonts w:hint="eastAsia"/>
          <w:b/>
          <w:bCs w:val="0"/>
          <w:snapToGrid w:val="0"/>
          <w:kern w:val="0"/>
          <w:sz w:val="24"/>
          <w:lang w:val="en-US" w:eastAsia="zh-CN"/>
        </w:rPr>
        <w:t>2.远程监控模块</w:t>
      </w:r>
    </w:p>
    <w:p>
      <w:pPr>
        <w:numPr>
          <w:ilvl w:val="0"/>
          <w:numId w:val="0"/>
        </w:numPr>
        <w:wordWrap w:val="0"/>
        <w:topLinePunct/>
        <w:spacing w:line="360" w:lineRule="auto"/>
        <w:rPr>
          <w:rFonts w:hint="eastAsia"/>
          <w:bCs/>
          <w:snapToGrid w:val="0"/>
          <w:kern w:val="0"/>
          <w:sz w:val="24"/>
        </w:rPr>
      </w:pPr>
      <w:r>
        <w:rPr>
          <w:rFonts w:hint="eastAsia"/>
          <w:bCs/>
          <w:snapToGrid w:val="0"/>
          <w:kern w:val="0"/>
          <w:sz w:val="24"/>
          <w:lang w:val="en-US" w:eastAsia="zh-CN"/>
        </w:rPr>
        <w:t xml:space="preserve">参数：  </w:t>
      </w:r>
      <w:r>
        <w:rPr>
          <w:rFonts w:hint="eastAsia"/>
          <w:bCs/>
          <w:snapToGrid w:val="0"/>
          <w:kern w:val="0"/>
          <w:sz w:val="24"/>
        </w:rPr>
        <w:t>1.YG-YJ01表示智能远程监控系统，包括4个模块。分别是：景观灯主控模块YG-YJ01-CTR; GPRS通信模块YG-YJ01-GPR;开关量采集模块YG-YJ01-SWI;电参量采集模块YG-YJ01-ELE。 控制现场全夜灯和半夜灯接触器线圈电压为220VAC,设备型号仅供参考。</w:t>
      </w:r>
    </w:p>
    <w:p>
      <w:pPr>
        <w:numPr>
          <w:ilvl w:val="0"/>
          <w:numId w:val="3"/>
        </w:numPr>
        <w:wordWrap w:val="0"/>
        <w:topLinePunct/>
        <w:spacing w:line="360" w:lineRule="auto"/>
        <w:ind w:left="0" w:leftChars="0" w:firstLine="0" w:firstLineChars="0"/>
        <w:rPr>
          <w:rFonts w:hint="eastAsia"/>
          <w:bCs/>
          <w:snapToGrid w:val="0"/>
          <w:kern w:val="0"/>
          <w:sz w:val="24"/>
          <w:lang w:eastAsia="zh-CN"/>
        </w:rPr>
      </w:pPr>
      <w:r>
        <w:rPr>
          <w:rFonts w:hint="eastAsia"/>
          <w:bCs/>
          <w:snapToGrid w:val="0"/>
          <w:kern w:val="0"/>
          <w:sz w:val="24"/>
        </w:rPr>
        <w:t>本柜具有自动开关灯，柜体门开关报警，路灯断路器跳闸报警，远程监控及抄表等功能</w:t>
      </w:r>
      <w:r>
        <w:rPr>
          <w:rFonts w:hint="eastAsia"/>
          <w:bCs/>
          <w:snapToGrid w:val="0"/>
          <w:kern w:val="0"/>
          <w:sz w:val="24"/>
          <w:lang w:eastAsia="zh-CN"/>
        </w:rPr>
        <w:t>。</w:t>
      </w:r>
    </w:p>
    <w:p>
      <w:pPr>
        <w:numPr>
          <w:ilvl w:val="0"/>
          <w:numId w:val="0"/>
        </w:numPr>
        <w:wordWrap w:val="0"/>
        <w:topLinePunct/>
        <w:spacing w:line="360" w:lineRule="auto"/>
        <w:ind w:leftChars="0"/>
        <w:rPr>
          <w:rFonts w:hint="eastAsia"/>
          <w:bCs/>
          <w:snapToGrid w:val="0"/>
          <w:kern w:val="0"/>
          <w:sz w:val="24"/>
          <w:lang w:val="en-US" w:eastAsia="zh-CN"/>
        </w:rPr>
      </w:pPr>
    </w:p>
    <w:p>
      <w:pPr>
        <w:numPr>
          <w:ilvl w:val="0"/>
          <w:numId w:val="0"/>
        </w:numPr>
        <w:topLinePunct/>
        <w:spacing w:line="360" w:lineRule="auto"/>
        <w:outlineLvl w:val="1"/>
        <w:rPr>
          <w:b/>
          <w:snapToGrid w:val="0"/>
          <w:kern w:val="0"/>
          <w:sz w:val="24"/>
        </w:rPr>
      </w:pPr>
      <w:r>
        <w:rPr>
          <w:rFonts w:hint="eastAsia"/>
          <w:b/>
          <w:snapToGrid w:val="0"/>
          <w:kern w:val="0"/>
          <w:sz w:val="24"/>
          <w:lang w:val="en-US" w:eastAsia="zh-CN"/>
        </w:rPr>
        <w:t>4.</w:t>
      </w:r>
      <w:r>
        <w:rPr>
          <w:b/>
          <w:snapToGrid w:val="0"/>
          <w:kern w:val="0"/>
          <w:sz w:val="24"/>
        </w:rPr>
        <w:t>供应商资格条件</w:t>
      </w:r>
    </w:p>
    <w:p>
      <w:pPr>
        <w:pStyle w:val="6"/>
        <w:ind w:firstLine="480"/>
      </w:pPr>
      <w:r>
        <w:rPr>
          <w:sz w:val="24"/>
        </w:rPr>
        <w:t>信用信誉良好，所供设备符合本工程量清单设备技术要求</w:t>
      </w:r>
      <w:r>
        <w:rPr>
          <w:rFonts w:hint="eastAsia"/>
          <w:sz w:val="24"/>
          <w:lang w:eastAsia="zh-CN"/>
        </w:rPr>
        <w:t>，且能提供清单内所有设备材料</w:t>
      </w:r>
      <w:r>
        <w:rPr>
          <w:sz w:val="24"/>
        </w:rPr>
        <w:t>。</w:t>
      </w:r>
    </w:p>
    <w:p>
      <w:pPr>
        <w:numPr>
          <w:ilvl w:val="0"/>
          <w:numId w:val="0"/>
        </w:numPr>
        <w:topLinePunct/>
        <w:spacing w:line="360" w:lineRule="auto"/>
        <w:outlineLvl w:val="1"/>
        <w:rPr>
          <w:b/>
          <w:snapToGrid w:val="0"/>
          <w:kern w:val="0"/>
          <w:sz w:val="24"/>
        </w:rPr>
      </w:pPr>
      <w:r>
        <w:rPr>
          <w:rFonts w:hint="eastAsia"/>
          <w:b/>
          <w:snapToGrid w:val="0"/>
          <w:kern w:val="0"/>
          <w:sz w:val="24"/>
          <w:lang w:val="en-US" w:eastAsia="zh-CN"/>
        </w:rPr>
        <w:t>5.</w:t>
      </w:r>
      <w:r>
        <w:rPr>
          <w:b/>
          <w:snapToGrid w:val="0"/>
          <w:kern w:val="0"/>
          <w:sz w:val="24"/>
        </w:rPr>
        <w:t>响应回执的递交</w:t>
      </w:r>
    </w:p>
    <w:p>
      <w:pPr>
        <w:spacing w:line="360" w:lineRule="auto"/>
        <w:ind w:firstLine="480" w:firstLineChars="200"/>
        <w:rPr>
          <w:snapToGrid w:val="0"/>
          <w:color w:val="000000"/>
          <w:kern w:val="0"/>
          <w:sz w:val="24"/>
        </w:rPr>
      </w:pPr>
      <w:r>
        <w:rPr>
          <w:sz w:val="24"/>
        </w:rPr>
        <w:t>凡有意参加本次采购且具备履行本项目能力的供应商，请</w:t>
      </w:r>
      <w:r>
        <w:rPr>
          <w:color w:val="000000"/>
          <w:sz w:val="24"/>
        </w:rPr>
        <w:t>将附于本公告后的响应回执在</w:t>
      </w:r>
      <w:r>
        <w:rPr>
          <w:color w:val="000000"/>
          <w:sz w:val="24"/>
          <w:u w:val="single"/>
        </w:rPr>
        <w:t>2023年</w:t>
      </w:r>
      <w:r>
        <w:rPr>
          <w:rFonts w:hint="eastAsia"/>
          <w:color w:val="000000"/>
          <w:sz w:val="24"/>
          <w:u w:val="single"/>
          <w:lang w:val="en-US" w:eastAsia="zh-CN"/>
        </w:rPr>
        <w:t>11</w:t>
      </w:r>
      <w:r>
        <w:rPr>
          <w:color w:val="000000"/>
          <w:sz w:val="24"/>
          <w:u w:val="single"/>
        </w:rPr>
        <w:t>月</w:t>
      </w:r>
      <w:r>
        <w:rPr>
          <w:rFonts w:hint="eastAsia"/>
          <w:color w:val="000000"/>
          <w:sz w:val="24"/>
          <w:u w:val="single"/>
          <w:lang w:val="en-US" w:eastAsia="zh-CN"/>
        </w:rPr>
        <w:t>30</w:t>
      </w:r>
      <w:r>
        <w:rPr>
          <w:color w:val="000000"/>
          <w:sz w:val="24"/>
          <w:u w:val="single"/>
        </w:rPr>
        <w:t>日</w:t>
      </w:r>
      <w:r>
        <w:rPr>
          <w:rFonts w:hint="eastAsia"/>
          <w:color w:val="000000"/>
          <w:sz w:val="24"/>
          <w:u w:val="single"/>
          <w:lang w:val="en-US" w:eastAsia="zh-CN"/>
        </w:rPr>
        <w:t>16</w:t>
      </w:r>
      <w:r>
        <w:rPr>
          <w:color w:val="000000"/>
          <w:sz w:val="24"/>
          <w:u w:val="single"/>
        </w:rPr>
        <w:t>：00</w:t>
      </w:r>
      <w:r>
        <w:rPr>
          <w:color w:val="000000"/>
          <w:sz w:val="24"/>
        </w:rPr>
        <w:t>之前发送至采购人邮箱：</w:t>
      </w:r>
      <w:r>
        <w:rPr>
          <w:rFonts w:hint="eastAsia"/>
          <w:color w:val="000000"/>
          <w:sz w:val="24"/>
          <w:lang w:val="en-US" w:eastAsia="zh-CN"/>
        </w:rPr>
        <w:t>gzlhr2</w:t>
      </w:r>
      <w:r>
        <w:rPr>
          <w:snapToGrid w:val="0"/>
          <w:color w:val="000000"/>
          <w:kern w:val="0"/>
          <w:sz w:val="24"/>
        </w:rPr>
        <w:t>@</w:t>
      </w:r>
      <w:r>
        <w:rPr>
          <w:rFonts w:hint="eastAsia"/>
          <w:snapToGrid w:val="0"/>
          <w:color w:val="000000"/>
          <w:kern w:val="0"/>
          <w:sz w:val="24"/>
          <w:lang w:val="en-US" w:eastAsia="zh-CN"/>
        </w:rPr>
        <w:t>163</w:t>
      </w:r>
      <w:r>
        <w:rPr>
          <w:snapToGrid w:val="0"/>
          <w:color w:val="000000"/>
          <w:kern w:val="0"/>
          <w:sz w:val="24"/>
        </w:rPr>
        <w:t>.com，逾期无效</w:t>
      </w:r>
      <w:r>
        <w:rPr>
          <w:rFonts w:hint="eastAsia"/>
          <w:snapToGrid w:val="0"/>
          <w:color w:val="000000"/>
          <w:kern w:val="0"/>
          <w:sz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snapToGrid w:val="0"/>
          <w:color w:val="000000"/>
          <w:kern w:val="0"/>
          <w:sz w:val="24"/>
        </w:rPr>
        <w:t>。采购人在收到响应回执后根据供应商信用信誉等情况进行讨论提议，不再另行发布采购公告。</w:t>
      </w:r>
    </w:p>
    <w:p>
      <w:pPr>
        <w:numPr>
          <w:ilvl w:val="0"/>
          <w:numId w:val="0"/>
        </w:numPr>
        <w:topLinePunct/>
        <w:spacing w:line="360" w:lineRule="auto"/>
        <w:outlineLvl w:val="1"/>
        <w:rPr>
          <w:b/>
          <w:snapToGrid w:val="0"/>
          <w:kern w:val="0"/>
          <w:sz w:val="24"/>
        </w:rPr>
      </w:pPr>
      <w:bookmarkStart w:id="0" w:name="_Toc332965960"/>
      <w:bookmarkStart w:id="1" w:name="_Toc332793891"/>
      <w:bookmarkStart w:id="2" w:name="_Toc332793818"/>
      <w:r>
        <w:rPr>
          <w:rFonts w:hint="eastAsia"/>
          <w:b/>
          <w:snapToGrid w:val="0"/>
          <w:kern w:val="0"/>
          <w:sz w:val="24"/>
          <w:lang w:val="en-US" w:eastAsia="zh-CN"/>
        </w:rPr>
        <w:t>6.</w:t>
      </w:r>
      <w:r>
        <w:rPr>
          <w:b/>
          <w:snapToGrid w:val="0"/>
          <w:kern w:val="0"/>
          <w:sz w:val="24"/>
        </w:rPr>
        <w:t>联系方式</w:t>
      </w:r>
      <w:bookmarkEnd w:id="0"/>
      <w:bookmarkEnd w:id="1"/>
      <w:bookmarkEnd w:id="2"/>
    </w:p>
    <w:p>
      <w:pPr>
        <w:topLinePunct/>
        <w:spacing w:line="360" w:lineRule="auto"/>
        <w:rPr>
          <w:color w:val="000000"/>
          <w:sz w:val="24"/>
        </w:rPr>
      </w:pPr>
      <w:r>
        <w:rPr>
          <w:color w:val="000000"/>
          <w:sz w:val="24"/>
        </w:rPr>
        <w:t>采购  人：广东诚泰交通科技发展有限公司</w:t>
      </w:r>
    </w:p>
    <w:p>
      <w:pPr>
        <w:topLinePunct/>
        <w:spacing w:line="360" w:lineRule="auto"/>
        <w:rPr>
          <w:color w:val="000000"/>
          <w:sz w:val="24"/>
        </w:rPr>
      </w:pPr>
      <w:r>
        <w:rPr>
          <w:color w:val="000000"/>
          <w:sz w:val="24"/>
        </w:rPr>
        <w:t>采购人地址：广州市番禺区洛浦街道北环路87号道路研究院二号楼</w:t>
      </w:r>
    </w:p>
    <w:p>
      <w:pPr>
        <w:topLinePunct/>
        <w:spacing w:line="360" w:lineRule="auto"/>
        <w:rPr>
          <w:color w:val="000000"/>
          <w:sz w:val="24"/>
        </w:rPr>
      </w:pPr>
      <w:r>
        <w:rPr>
          <w:color w:val="000000"/>
          <w:sz w:val="24"/>
        </w:rPr>
        <w:t>联  系  人：</w:t>
      </w:r>
      <w:r>
        <w:rPr>
          <w:rFonts w:hint="eastAsia"/>
          <w:color w:val="000000"/>
          <w:sz w:val="24"/>
          <w:lang w:val="en-US" w:eastAsia="zh-CN"/>
        </w:rPr>
        <w:t>廖</w:t>
      </w:r>
      <w:r>
        <w:rPr>
          <w:color w:val="000000"/>
          <w:sz w:val="24"/>
        </w:rPr>
        <w:t>工</w:t>
      </w:r>
    </w:p>
    <w:p>
      <w:pPr>
        <w:topLinePunct/>
        <w:spacing w:line="360" w:lineRule="auto"/>
        <w:rPr>
          <w:color w:val="000000"/>
          <w:sz w:val="24"/>
        </w:rPr>
      </w:pPr>
      <w:r>
        <w:rPr>
          <w:color w:val="000000"/>
          <w:sz w:val="24"/>
        </w:rPr>
        <w:t>电      话：020-39185740</w:t>
      </w:r>
    </w:p>
    <w:p>
      <w:pPr>
        <w:topLinePunct/>
        <w:spacing w:line="360" w:lineRule="auto"/>
        <w:jc w:val="right"/>
        <w:rPr>
          <w:color w:val="000000"/>
          <w:sz w:val="24"/>
        </w:rPr>
      </w:pPr>
      <w:r>
        <w:rPr>
          <w:color w:val="000000"/>
          <w:sz w:val="24"/>
        </w:rPr>
        <w:t>广东诚泰交通科技发展有限公司</w:t>
      </w:r>
    </w:p>
    <w:p>
      <w:pPr>
        <w:topLinePunct/>
        <w:spacing w:line="360" w:lineRule="auto"/>
        <w:jc w:val="center"/>
        <w:rPr>
          <w:color w:val="000000"/>
          <w:sz w:val="24"/>
        </w:rPr>
      </w:pPr>
      <w:r>
        <w:rPr>
          <w:color w:val="000000"/>
          <w:sz w:val="24"/>
        </w:rPr>
        <w:t xml:space="preserve">                                              2023年</w:t>
      </w:r>
      <w:r>
        <w:rPr>
          <w:rFonts w:hint="eastAsia"/>
          <w:color w:val="000000"/>
          <w:sz w:val="24"/>
          <w:lang w:val="en-US" w:eastAsia="zh-CN"/>
        </w:rPr>
        <w:t>11</w:t>
      </w:r>
      <w:r>
        <w:rPr>
          <w:color w:val="000000"/>
          <w:sz w:val="24"/>
        </w:rPr>
        <w:t>月</w:t>
      </w:r>
      <w:r>
        <w:rPr>
          <w:rFonts w:hint="eastAsia"/>
          <w:color w:val="000000"/>
          <w:sz w:val="24"/>
          <w:lang w:val="en-US" w:eastAsia="zh-CN"/>
        </w:rPr>
        <w:t>28</w:t>
      </w:r>
      <w:r>
        <w:rPr>
          <w:color w:val="000000"/>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2"/>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3"/>
      <w:suff w:val="nothing"/>
      <w:lvlText w:val="%1.%2.%3 "/>
      <w:lvlJc w:val="left"/>
      <w:pPr>
        <w:ind w:left="142" w:firstLine="0"/>
      </w:pPr>
    </w:lvl>
    <w:lvl w:ilvl="3" w:tentative="0">
      <w:start w:val="1"/>
      <w:numFmt w:val="decimal"/>
      <w:lvlRestart w:val="1"/>
      <w:pStyle w:val="4"/>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5"/>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172A27"/>
    <w:rsid w:val="00123FE3"/>
    <w:rsid w:val="001301C5"/>
    <w:rsid w:val="00172A27"/>
    <w:rsid w:val="00477707"/>
    <w:rsid w:val="005603E4"/>
    <w:rsid w:val="00791D96"/>
    <w:rsid w:val="009A3C9A"/>
    <w:rsid w:val="00CC1A2E"/>
    <w:rsid w:val="00ED32E4"/>
    <w:rsid w:val="00EE2011"/>
    <w:rsid w:val="00FA736A"/>
    <w:rsid w:val="00FC4153"/>
    <w:rsid w:val="00FD7ED5"/>
    <w:rsid w:val="02040FDF"/>
    <w:rsid w:val="03393105"/>
    <w:rsid w:val="046E3765"/>
    <w:rsid w:val="06622CB2"/>
    <w:rsid w:val="072D08E0"/>
    <w:rsid w:val="08EE3671"/>
    <w:rsid w:val="0A69025B"/>
    <w:rsid w:val="0ACD0BB2"/>
    <w:rsid w:val="0BED38CF"/>
    <w:rsid w:val="0C5B01B4"/>
    <w:rsid w:val="0DA26991"/>
    <w:rsid w:val="0ECB4993"/>
    <w:rsid w:val="112A7044"/>
    <w:rsid w:val="12ED5CBA"/>
    <w:rsid w:val="14C447F8"/>
    <w:rsid w:val="164C04F3"/>
    <w:rsid w:val="18606150"/>
    <w:rsid w:val="19B32EC3"/>
    <w:rsid w:val="1A786886"/>
    <w:rsid w:val="1D5379E4"/>
    <w:rsid w:val="1DC008E5"/>
    <w:rsid w:val="1F3E25C9"/>
    <w:rsid w:val="1F8905C9"/>
    <w:rsid w:val="20205D7D"/>
    <w:rsid w:val="2039362C"/>
    <w:rsid w:val="22254F9E"/>
    <w:rsid w:val="22691C2E"/>
    <w:rsid w:val="24875F4B"/>
    <w:rsid w:val="28126A09"/>
    <w:rsid w:val="2A6117E0"/>
    <w:rsid w:val="2A790928"/>
    <w:rsid w:val="2A9C2048"/>
    <w:rsid w:val="2B975488"/>
    <w:rsid w:val="2BB05A29"/>
    <w:rsid w:val="2BBE1469"/>
    <w:rsid w:val="2CD93089"/>
    <w:rsid w:val="2D393A69"/>
    <w:rsid w:val="2E0860D1"/>
    <w:rsid w:val="2E5A20BA"/>
    <w:rsid w:val="2ECB5FE2"/>
    <w:rsid w:val="34403FA4"/>
    <w:rsid w:val="34DB5F68"/>
    <w:rsid w:val="35912415"/>
    <w:rsid w:val="38A511DA"/>
    <w:rsid w:val="3A7D6982"/>
    <w:rsid w:val="3C047712"/>
    <w:rsid w:val="3DD1395F"/>
    <w:rsid w:val="3E8C010F"/>
    <w:rsid w:val="3EFD65C9"/>
    <w:rsid w:val="400E2C48"/>
    <w:rsid w:val="403A795B"/>
    <w:rsid w:val="4044389B"/>
    <w:rsid w:val="40C03B09"/>
    <w:rsid w:val="41DC0EAF"/>
    <w:rsid w:val="42100EF9"/>
    <w:rsid w:val="434B112E"/>
    <w:rsid w:val="46C97C03"/>
    <w:rsid w:val="472B5FAC"/>
    <w:rsid w:val="48AD79E8"/>
    <w:rsid w:val="4908486B"/>
    <w:rsid w:val="49DC5C4D"/>
    <w:rsid w:val="4A44006F"/>
    <w:rsid w:val="4BFB311F"/>
    <w:rsid w:val="4DA31AFF"/>
    <w:rsid w:val="4DB34E2F"/>
    <w:rsid w:val="4F3C57FB"/>
    <w:rsid w:val="50DE6FEF"/>
    <w:rsid w:val="515756D7"/>
    <w:rsid w:val="52871060"/>
    <w:rsid w:val="52ED4007"/>
    <w:rsid w:val="54210D44"/>
    <w:rsid w:val="560F1B9D"/>
    <w:rsid w:val="57BF2D4E"/>
    <w:rsid w:val="58B74CBC"/>
    <w:rsid w:val="5B2814D9"/>
    <w:rsid w:val="5E8E770E"/>
    <w:rsid w:val="623B7383"/>
    <w:rsid w:val="63166D1A"/>
    <w:rsid w:val="65922BE0"/>
    <w:rsid w:val="6AC87D14"/>
    <w:rsid w:val="6C083654"/>
    <w:rsid w:val="6C094604"/>
    <w:rsid w:val="6C751B3B"/>
    <w:rsid w:val="6D2E30B2"/>
    <w:rsid w:val="6E354925"/>
    <w:rsid w:val="6E4A295F"/>
    <w:rsid w:val="70A15743"/>
    <w:rsid w:val="710B2708"/>
    <w:rsid w:val="724471CD"/>
    <w:rsid w:val="74963E13"/>
    <w:rsid w:val="74F6506E"/>
    <w:rsid w:val="760D37CC"/>
    <w:rsid w:val="77B73F34"/>
    <w:rsid w:val="79E2018B"/>
    <w:rsid w:val="7A676C9E"/>
    <w:rsid w:val="7C7F737F"/>
    <w:rsid w:val="7DD345A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8"/>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3">
    <w:name w:val="heading 3"/>
    <w:basedOn w:val="1"/>
    <w:next w:val="1"/>
    <w:link w:val="19"/>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4">
    <w:name w:val="heading 4"/>
    <w:basedOn w:val="1"/>
    <w:next w:val="1"/>
    <w:link w:val="20"/>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5">
    <w:name w:val="heading 5"/>
    <w:basedOn w:val="1"/>
    <w:next w:val="1"/>
    <w:link w:val="21"/>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pPr>
      <w:ind w:firstLine="420" w:firstLineChars="200"/>
    </w:pPr>
  </w:style>
  <w:style w:type="paragraph" w:styleId="7">
    <w:name w:val="Body Text Indent"/>
    <w:basedOn w:val="1"/>
    <w:qFormat/>
    <w:uiPriority w:val="0"/>
    <w:pPr>
      <w:spacing w:after="120"/>
      <w:ind w:left="420" w:leftChars="200"/>
    </w:pPr>
    <w:rPr>
      <w:lang w:val="zh-CN"/>
    </w:rPr>
  </w:style>
  <w:style w:type="paragraph" w:styleId="8">
    <w:name w:val="Plain Text"/>
    <w:basedOn w:val="1"/>
    <w:next w:val="1"/>
    <w:qFormat/>
    <w:uiPriority w:val="0"/>
    <w:rPr>
      <w:rFonts w:ascii="宋体" w:hAnsi="Courier New"/>
      <w:szCs w:val="20"/>
    </w:rPr>
  </w:style>
  <w:style w:type="paragraph" w:styleId="9">
    <w:name w:val="Balloon Text"/>
    <w:basedOn w:val="1"/>
    <w:link w:val="40"/>
    <w:qFormat/>
    <w:uiPriority w:val="0"/>
    <w:rPr>
      <w:sz w:val="18"/>
      <w:szCs w:val="18"/>
    </w:rPr>
  </w:style>
  <w:style w:type="paragraph" w:styleId="10">
    <w:name w:val="footer"/>
    <w:basedOn w:val="1"/>
    <w:link w:val="17"/>
    <w:qFormat/>
    <w:uiPriority w:val="0"/>
    <w:pPr>
      <w:tabs>
        <w:tab w:val="center" w:pos="4153"/>
        <w:tab w:val="right" w:pos="8306"/>
      </w:tabs>
      <w:snapToGrid w:val="0"/>
      <w:jc w:val="left"/>
    </w:pPr>
    <w:rPr>
      <w:sz w:val="18"/>
      <w:szCs w:val="18"/>
    </w:rPr>
  </w:style>
  <w:style w:type="paragraph" w:styleId="11">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customStyle="1" w:styleId="14">
    <w:name w:val="表格文字"/>
    <w:basedOn w:val="15"/>
    <w:qFormat/>
    <w:uiPriority w:val="0"/>
    <w:pPr>
      <w:adjustRightInd w:val="0"/>
      <w:spacing w:line="420" w:lineRule="atLeast"/>
      <w:textAlignment w:val="baseline"/>
    </w:pPr>
  </w:style>
  <w:style w:type="paragraph" w:customStyle="1" w:styleId="15">
    <w:name w:val="正文1"/>
    <w:qFormat/>
    <w:uiPriority w:val="99"/>
    <w:pPr>
      <w:ind w:firstLine="360"/>
    </w:pPr>
    <w:rPr>
      <w:rFonts w:hint="eastAsia" w:ascii="Calibri" w:hAnsi="Calibri" w:eastAsia="宋体" w:cs="Times New Roman"/>
      <w:sz w:val="22"/>
      <w:szCs w:val="22"/>
      <w:lang w:val="en-US" w:eastAsia="en-US" w:bidi="ar-SA"/>
    </w:rPr>
  </w:style>
  <w:style w:type="character" w:customStyle="1" w:styleId="16">
    <w:name w:val="页眉 Char"/>
    <w:basedOn w:val="13"/>
    <w:link w:val="11"/>
    <w:qFormat/>
    <w:uiPriority w:val="0"/>
    <w:rPr>
      <w:kern w:val="2"/>
      <w:sz w:val="18"/>
      <w:szCs w:val="18"/>
    </w:rPr>
  </w:style>
  <w:style w:type="character" w:customStyle="1" w:styleId="17">
    <w:name w:val="页脚 Char"/>
    <w:basedOn w:val="13"/>
    <w:link w:val="10"/>
    <w:qFormat/>
    <w:uiPriority w:val="0"/>
    <w:rPr>
      <w:kern w:val="2"/>
      <w:sz w:val="18"/>
      <w:szCs w:val="18"/>
    </w:rPr>
  </w:style>
  <w:style w:type="character" w:customStyle="1" w:styleId="18">
    <w:name w:val="标题 2 Char"/>
    <w:basedOn w:val="13"/>
    <w:link w:val="2"/>
    <w:qFormat/>
    <w:uiPriority w:val="0"/>
    <w:rPr>
      <w:rFonts w:ascii="Book Antiqua" w:hAnsi="Book Antiqua" w:eastAsia="黑体" w:cs="Book Antiqua"/>
      <w:bCs/>
      <w:sz w:val="36"/>
      <w:szCs w:val="36"/>
      <w:lang w:eastAsia="en-US"/>
    </w:rPr>
  </w:style>
  <w:style w:type="character" w:customStyle="1" w:styleId="19">
    <w:name w:val="标题 3 Char"/>
    <w:basedOn w:val="13"/>
    <w:link w:val="3"/>
    <w:qFormat/>
    <w:uiPriority w:val="0"/>
    <w:rPr>
      <w:rFonts w:ascii="Book Antiqua" w:hAnsi="Book Antiqua" w:eastAsia="黑体" w:cs="宋体"/>
      <w:sz w:val="32"/>
      <w:szCs w:val="32"/>
    </w:rPr>
  </w:style>
  <w:style w:type="character" w:customStyle="1" w:styleId="20">
    <w:name w:val="标题 4 Char"/>
    <w:basedOn w:val="13"/>
    <w:link w:val="4"/>
    <w:qFormat/>
    <w:uiPriority w:val="0"/>
    <w:rPr>
      <w:rFonts w:ascii="Book Antiqua" w:hAnsi="Book Antiqua" w:eastAsia="黑体" w:cs="宋体"/>
      <w:sz w:val="28"/>
      <w:szCs w:val="28"/>
    </w:rPr>
  </w:style>
  <w:style w:type="character" w:customStyle="1" w:styleId="21">
    <w:name w:val="标题 5 Char"/>
    <w:basedOn w:val="13"/>
    <w:link w:val="5"/>
    <w:qFormat/>
    <w:uiPriority w:val="0"/>
    <w:rPr>
      <w:rFonts w:ascii="Book Antiqua" w:hAnsi="Book Antiqua" w:eastAsia="黑体" w:cs="宋体"/>
      <w:sz w:val="24"/>
      <w:szCs w:val="24"/>
    </w:rPr>
  </w:style>
  <w:style w:type="paragraph" w:styleId="22">
    <w:name w:val="List Paragraph"/>
    <w:basedOn w:val="1"/>
    <w:link w:val="23"/>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qFormat/>
    <w:uiPriority w:val="0"/>
    <w:rPr>
      <w:rFonts w:cs="Arial"/>
      <w:bCs/>
      <w:szCs w:val="28"/>
    </w:rPr>
  </w:style>
  <w:style w:type="paragraph" w:customStyle="1" w:styleId="25">
    <w:name w:val="Item Step in table"/>
    <w:basedOn w:val="5"/>
    <w:link w:val="24"/>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qFormat/>
    <w:uiPriority w:val="0"/>
    <w:rPr>
      <w:rFonts w:cs="Arial"/>
      <w:szCs w:val="21"/>
    </w:rPr>
  </w:style>
  <w:style w:type="paragraph" w:customStyle="1" w:styleId="29">
    <w:name w:val="Table Text"/>
    <w:basedOn w:val="1"/>
    <w:link w:val="28"/>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3"/>
    <w:link w:val="9"/>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738</Words>
  <Characters>988</Characters>
  <Lines>61</Lines>
  <Paragraphs>17</Paragraphs>
  <TotalTime>8</TotalTime>
  <ScaleCrop>false</ScaleCrop>
  <LinksUpToDate>false</LinksUpToDate>
  <CharactersWithSpaces>1078</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2023-11-28T05:55:19Z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B75484C30A0D48A998196F431A9A3E69</vt:lpwstr>
  </property>
</Properties>
</file>