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北三环高速科教城收费站机电及交安设施建设工程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治超一体化摄像机等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北三环高速科教城收费站机电及交安设施建设工程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802-2-6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治超一体化摄像机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802-2-7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治超一体化摄像机立柱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根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六边形80*1440mm-1640mm(根据现场调整),含法兰盘，膨胀螺丝，垫圈等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802-2-8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治超摄像机补光灯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含线缆，安装于治超一体化摄像机立柱，补光用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69600.00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ilvl w:val="0"/>
          <w:numId w:val="0"/>
        </w:numP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3.技术参数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default" w:ascii="Times New Roman" w:hAnsi="Times New Roman" w:eastAsia="Times New Roman"/>
          <w:b/>
          <w:sz w:val="24"/>
          <w:szCs w:val="24"/>
        </w:rPr>
        <w:t xml:space="preserve">3.3.8. </w:t>
      </w:r>
      <w:r>
        <w:rPr>
          <w:rFonts w:hint="eastAsia" w:ascii="宋体" w:hAnsi="宋体" w:eastAsia="宋体"/>
          <w:sz w:val="24"/>
          <w:szCs w:val="24"/>
        </w:rPr>
        <w:t>治超一体化摄像机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满足《高速公路称重检测业务规范和技术要求》。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一体机像素：≥500 万像素</w:t>
      </w:r>
    </w:p>
    <w:p>
      <w:pPr>
        <w:spacing w:beforeLines="0" w:afterLines="0"/>
        <w:jc w:val="left"/>
        <w:rPr>
          <w:rFonts w:hint="default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防护等级：</w:t>
      </w:r>
      <w:r>
        <w:rPr>
          <w:rFonts w:hint="default" w:ascii="宋体" w:hAnsi="宋体" w:eastAsia="宋体"/>
          <w:sz w:val="24"/>
          <w:szCs w:val="24"/>
        </w:rPr>
        <w:t>IP66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图片分辨率：前、后、侧摄像机抓拍图片分辨率不小于 </w:t>
      </w:r>
      <w:r>
        <w:rPr>
          <w:rFonts w:hint="default" w:ascii="宋体" w:hAnsi="宋体" w:eastAsia="宋体"/>
          <w:sz w:val="24"/>
          <w:szCs w:val="24"/>
        </w:rPr>
        <w:t xml:space="preserve">300 </w:t>
      </w:r>
      <w:r>
        <w:rPr>
          <w:rFonts w:hint="eastAsia" w:ascii="宋体" w:hAnsi="宋体" w:eastAsia="宋体"/>
          <w:sz w:val="24"/>
          <w:szCs w:val="24"/>
        </w:rPr>
        <w:t>万像素；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录像：180°全景录像大于 </w:t>
      </w:r>
      <w:r>
        <w:rPr>
          <w:rFonts w:hint="default" w:ascii="宋体" w:hAnsi="宋体" w:eastAsia="宋体"/>
          <w:sz w:val="24"/>
          <w:szCs w:val="24"/>
        </w:rPr>
        <w:t xml:space="preserve">5 </w:t>
      </w:r>
      <w:r>
        <w:rPr>
          <w:rFonts w:hint="eastAsia" w:ascii="宋体" w:hAnsi="宋体" w:eastAsia="宋体"/>
          <w:sz w:val="24"/>
          <w:szCs w:val="24"/>
        </w:rPr>
        <w:t xml:space="preserve">秒（分辨率大于 </w:t>
      </w:r>
      <w:r>
        <w:rPr>
          <w:rFonts w:hint="default" w:ascii="宋体" w:hAnsi="宋体" w:eastAsia="宋体"/>
          <w:sz w:val="24"/>
          <w:szCs w:val="24"/>
        </w:rPr>
        <w:t>2K</w:t>
      </w:r>
      <w:r>
        <w:rPr>
          <w:rFonts w:hint="eastAsia" w:ascii="宋体" w:hAnsi="宋体" w:eastAsia="宋体"/>
          <w:sz w:val="24"/>
          <w:szCs w:val="24"/>
        </w:rPr>
        <w:t>）；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功能参数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车辆分离正确率：≥99%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车辆号牌（包含车牌颜色）识别准确率应不小于</w:t>
      </w:r>
      <w:r>
        <w:rPr>
          <w:rFonts w:hint="default" w:ascii="宋体" w:hAnsi="宋体" w:eastAsia="宋体"/>
          <w:sz w:val="24"/>
          <w:szCs w:val="24"/>
        </w:rPr>
        <w:t>98</w:t>
      </w:r>
      <w:r>
        <w:rPr>
          <w:rFonts w:hint="eastAsia" w:ascii="宋体" w:hAnsi="宋体" w:eastAsia="宋体"/>
          <w:sz w:val="24"/>
          <w:szCs w:val="24"/>
        </w:rPr>
        <w:t>％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未悬挂号牌的识别率应不小于</w:t>
      </w:r>
      <w:r>
        <w:rPr>
          <w:rFonts w:hint="default" w:ascii="宋体" w:hAnsi="宋体" w:eastAsia="宋体"/>
          <w:sz w:val="24"/>
          <w:szCs w:val="24"/>
        </w:rPr>
        <w:t>80</w:t>
      </w:r>
      <w:r>
        <w:rPr>
          <w:rFonts w:hint="eastAsia" w:ascii="宋体" w:hAnsi="宋体" w:eastAsia="宋体"/>
          <w:sz w:val="24"/>
          <w:szCs w:val="24"/>
        </w:rPr>
        <w:t>％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车型识别正确率：≥99%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轴型识别正确率：≥99%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输出信息（</w:t>
      </w:r>
      <w:r>
        <w:rPr>
          <w:rFonts w:hint="default" w:ascii="宋体" w:hAnsi="宋体" w:eastAsia="宋体"/>
          <w:sz w:val="24"/>
          <w:szCs w:val="24"/>
        </w:rPr>
        <w:t>SDK</w:t>
      </w:r>
      <w:r>
        <w:rPr>
          <w:rFonts w:hint="eastAsia" w:ascii="宋体" w:hAnsi="宋体" w:eastAsia="宋体"/>
          <w:sz w:val="24"/>
          <w:szCs w:val="24"/>
        </w:rPr>
        <w:t>）：车头车侧车尾拼接的全景高清车辆视频、车头大图、车尾大图、车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侧全景图、车头及车尾车牌号码和颜色及全景视频录像。</w:t>
      </w:r>
    </w:p>
    <w:p>
      <w:pPr>
        <w:spacing w:beforeLines="0" w:afterLines="0"/>
        <w:jc w:val="left"/>
        <w:rPr>
          <w:rFonts w:hint="default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通信接口：</w:t>
      </w:r>
      <w:r>
        <w:rPr>
          <w:rFonts w:hint="default" w:ascii="宋体" w:hAnsi="宋体" w:eastAsia="宋体"/>
          <w:sz w:val="24"/>
          <w:szCs w:val="24"/>
        </w:rPr>
        <w:t>RJ45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工作温度：</w:t>
      </w:r>
      <w:r>
        <w:rPr>
          <w:rFonts w:hint="default" w:ascii="宋体" w:hAnsi="宋体" w:eastAsia="宋体"/>
          <w:sz w:val="24"/>
          <w:szCs w:val="24"/>
        </w:rPr>
        <w:t>-</w:t>
      </w:r>
      <w:r>
        <w:rPr>
          <w:rFonts w:hint="eastAsia" w:ascii="宋体" w:hAnsi="宋体" w:eastAsia="宋体"/>
          <w:sz w:val="24"/>
          <w:szCs w:val="24"/>
        </w:rPr>
        <w:t>20℃~60℃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相对湿度：</w:t>
      </w:r>
      <w:r>
        <w:rPr>
          <w:rFonts w:hint="default" w:ascii="宋体" w:hAnsi="宋体" w:eastAsia="宋体"/>
          <w:sz w:val="24"/>
          <w:szCs w:val="24"/>
        </w:rPr>
        <w:t xml:space="preserve">20% </w:t>
      </w:r>
      <w:r>
        <w:rPr>
          <w:rFonts w:hint="eastAsia" w:ascii="宋体" w:hAnsi="宋体" w:eastAsia="宋体"/>
          <w:sz w:val="24"/>
          <w:szCs w:val="24"/>
        </w:rPr>
        <w:t xml:space="preserve">～ </w:t>
      </w:r>
      <w:r>
        <w:rPr>
          <w:rFonts w:hint="default" w:ascii="宋体" w:hAnsi="宋体" w:eastAsia="宋体"/>
          <w:sz w:val="24"/>
          <w:szCs w:val="24"/>
        </w:rPr>
        <w:t>90%</w:t>
      </w:r>
      <w:r>
        <w:rPr>
          <w:rFonts w:hint="eastAsia" w:ascii="宋体" w:hAnsi="宋体" w:eastAsia="宋体"/>
          <w:sz w:val="24"/>
          <w:szCs w:val="24"/>
        </w:rPr>
        <w:t>（无凝结）</w:t>
      </w:r>
    </w:p>
    <w:p>
      <w:pPr>
        <w:spacing w:beforeLines="0" w:afterLines="0"/>
        <w:jc w:val="left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MTBF ≥30000h</w:t>
      </w:r>
    </w:p>
    <w:p>
      <w:pPr>
        <w:pStyle w:val="13"/>
        <w:ind w:left="0" w:leftChars="0" w:firstLine="0" w:firstLineChars="0"/>
        <w:rPr>
          <w:rFonts w:hint="eastAsia" w:hAnsiTheme="minorEastAsia" w:eastAsiaTheme="minorEastAsia"/>
          <w:bCs/>
          <w:szCs w:val="21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含识别软件、立柱及安装配件。</w:t>
      </w:r>
    </w:p>
    <w:p>
      <w:pPr>
        <w:pStyle w:val="6"/>
        <w:numPr>
          <w:ilvl w:val="0"/>
          <w:numId w:val="0"/>
        </w:numPr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6402CC2"/>
    <w:rsid w:val="176F6C9D"/>
    <w:rsid w:val="17936E30"/>
    <w:rsid w:val="185145F5"/>
    <w:rsid w:val="18606150"/>
    <w:rsid w:val="18E02F28"/>
    <w:rsid w:val="19B32EC3"/>
    <w:rsid w:val="19EC0A79"/>
    <w:rsid w:val="1A786886"/>
    <w:rsid w:val="1ACD7CCF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563D7B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A62119B"/>
    <w:rsid w:val="4B3450B1"/>
    <w:rsid w:val="4BFB311F"/>
    <w:rsid w:val="4C7148A9"/>
    <w:rsid w:val="4D41787A"/>
    <w:rsid w:val="4DA31AFF"/>
    <w:rsid w:val="4DB34E2F"/>
    <w:rsid w:val="4DB87F36"/>
    <w:rsid w:val="4F7B408D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2023-11-28T06:18:41Z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