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南沙至中山高速公路项目机电工程施工 （JD01合同段）封堵模块、电缆导管</w:t>
      </w:r>
      <w:r>
        <w:rPr>
          <w:rFonts w:hint="default" w:ascii="Times New Roman" w:hAnsi="Times New Roman" w:eastAsia="宋体" w:cs="Times New Roman"/>
          <w:b/>
          <w:color w:val="000000"/>
          <w:sz w:val="30"/>
          <w:szCs w:val="30"/>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val="en-US" w:eastAsia="zh-CN"/>
        </w:rPr>
        <w:t>南沙至中山高速公路项目机电工程施工 （JD01合同段）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809-1-3-2</w:t>
            </w:r>
          </w:p>
        </w:tc>
        <w:tc>
          <w:tcPr>
            <w:tcW w:w="1978"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2孔100×4.5mm玻璃纤维增强塑料电缆导管</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延米</w:t>
            </w:r>
          </w:p>
        </w:tc>
        <w:tc>
          <w:tcPr>
            <w:tcW w:w="1242"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333</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ascii="宋体" w:hAnsi="宋体" w:cs="宋体"/>
                <w:i w:val="0"/>
                <w:iCs w:val="0"/>
                <w:color w:val="000000"/>
                <w:kern w:val="0"/>
                <w:sz w:val="20"/>
                <w:szCs w:val="20"/>
                <w:u w:val="none"/>
                <w:lang w:val="en-US" w:eastAsia="zh-CN" w:bidi="ar"/>
              </w:rPr>
            </w:pPr>
            <w:r>
              <w:rPr>
                <w:rFonts w:hint="eastAsia"/>
                <w:szCs w:val="21"/>
                <w:lang w:val="en-US" w:eastAsia="zh-CN"/>
              </w:rPr>
              <w:t>809-1-3-3</w:t>
            </w:r>
          </w:p>
        </w:tc>
        <w:tc>
          <w:tcPr>
            <w:tcW w:w="1978"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3孔150×4玻璃纤维增强塑料电缆导管</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延米</w:t>
            </w:r>
          </w:p>
        </w:tc>
        <w:tc>
          <w:tcPr>
            <w:tcW w:w="1242"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r>
              <w:rPr>
                <w:rFonts w:hint="eastAsia"/>
                <w:szCs w:val="21"/>
                <w:lang w:val="en-US" w:eastAsia="zh-CN"/>
              </w:rPr>
              <w:t>738</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cs="Times New Roman"/>
                <w:i w:val="0"/>
                <w:iCs w:val="0"/>
                <w:color w:val="000000"/>
                <w:kern w:val="0"/>
                <w:sz w:val="18"/>
                <w:szCs w:val="18"/>
                <w:u w:val="none"/>
                <w:lang w:val="en-US" w:eastAsia="zh-CN" w:bidi="ar"/>
              </w:rPr>
            </w:pPr>
            <w:r>
              <w:rPr>
                <w:rFonts w:hint="eastAsia"/>
                <w:szCs w:val="21"/>
                <w:lang w:val="en-US" w:eastAsia="zh-CN"/>
              </w:rPr>
              <w:t>809-1-3-4</w:t>
            </w:r>
          </w:p>
        </w:tc>
        <w:tc>
          <w:tcPr>
            <w:tcW w:w="1978" w:type="dxa"/>
            <w:shd w:val="clear" w:color="auto" w:fill="auto"/>
            <w:vAlign w:val="center"/>
          </w:tcPr>
          <w:p>
            <w:pPr>
              <w:spacing w:line="240" w:lineRule="auto"/>
              <w:jc w:val="center"/>
              <w:rPr>
                <w:rFonts w:hint="default" w:hAnsiTheme="minorEastAsia" w:eastAsiaTheme="minorEastAsia"/>
                <w:szCs w:val="21"/>
                <w:lang w:val="en-US" w:eastAsia="zh-CN"/>
              </w:rPr>
            </w:pPr>
            <w:r>
              <w:rPr>
                <w:rFonts w:hint="eastAsia"/>
                <w:szCs w:val="21"/>
                <w:lang w:val="en-US" w:eastAsia="zh-CN"/>
              </w:rPr>
              <w:t>3孔150×8玻璃纤维增强塑料电缆导管</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延米</w:t>
            </w:r>
          </w:p>
        </w:tc>
        <w:tc>
          <w:tcPr>
            <w:tcW w:w="1242"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370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cs="Times New Roman"/>
                <w:i w:val="0"/>
                <w:iCs w:val="0"/>
                <w:color w:val="000000"/>
                <w:kern w:val="0"/>
                <w:sz w:val="18"/>
                <w:szCs w:val="18"/>
                <w:u w:val="none"/>
                <w:lang w:val="en-US" w:eastAsia="zh-CN" w:bidi="ar"/>
              </w:rPr>
            </w:pPr>
            <w:r>
              <w:rPr>
                <w:rFonts w:hint="eastAsia"/>
                <w:szCs w:val="21"/>
                <w:lang w:val="en-US" w:eastAsia="zh-CN"/>
              </w:rPr>
              <w:t>809-1-3-6</w:t>
            </w:r>
          </w:p>
        </w:tc>
        <w:tc>
          <w:tcPr>
            <w:tcW w:w="1978" w:type="dxa"/>
            <w:shd w:val="clear" w:color="auto" w:fill="auto"/>
            <w:vAlign w:val="center"/>
          </w:tcPr>
          <w:p>
            <w:pPr>
              <w:spacing w:line="240" w:lineRule="auto"/>
              <w:jc w:val="center"/>
              <w:rPr>
                <w:rFonts w:hint="default" w:hAnsiTheme="minorEastAsia" w:eastAsiaTheme="minorEastAsia"/>
                <w:szCs w:val="21"/>
                <w:lang w:val="en-US" w:eastAsia="zh-CN"/>
              </w:rPr>
            </w:pPr>
            <w:r>
              <w:rPr>
                <w:rFonts w:hint="eastAsia"/>
                <w:szCs w:val="21"/>
                <w:lang w:val="en-US" w:eastAsia="zh-CN"/>
              </w:rPr>
              <w:t>6孔100×4.5mm玻璃纤维增强塑料电缆导管</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延米</w:t>
            </w:r>
          </w:p>
        </w:tc>
        <w:tc>
          <w:tcPr>
            <w:tcW w:w="1242"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3092</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cs="Times New Roman"/>
                <w:i w:val="0"/>
                <w:iCs w:val="0"/>
                <w:color w:val="000000"/>
                <w:kern w:val="0"/>
                <w:sz w:val="18"/>
                <w:szCs w:val="18"/>
                <w:u w:val="none"/>
                <w:lang w:val="en-US" w:eastAsia="zh-CN" w:bidi="ar"/>
              </w:rPr>
            </w:pPr>
            <w:r>
              <w:rPr>
                <w:rFonts w:hint="eastAsia"/>
                <w:szCs w:val="21"/>
                <w:lang w:val="en-US" w:eastAsia="zh-CN"/>
              </w:rPr>
              <w:t>809-7-1</w:t>
            </w:r>
          </w:p>
        </w:tc>
        <w:tc>
          <w:tcPr>
            <w:tcW w:w="1978" w:type="dxa"/>
            <w:shd w:val="clear" w:color="auto" w:fill="auto"/>
            <w:vAlign w:val="center"/>
          </w:tcPr>
          <w:p>
            <w:pPr>
              <w:spacing w:line="240" w:lineRule="auto"/>
              <w:jc w:val="center"/>
              <w:rPr>
                <w:rFonts w:hint="default" w:hAnsiTheme="minorEastAsia" w:eastAsiaTheme="minorEastAsia"/>
                <w:szCs w:val="21"/>
                <w:lang w:val="en-US" w:eastAsia="zh-CN"/>
              </w:rPr>
            </w:pPr>
            <w:r>
              <w:rPr>
                <w:rFonts w:hint="eastAsia"/>
                <w:szCs w:val="21"/>
                <w:lang w:val="en-US" w:eastAsia="zh-CN"/>
              </w:rPr>
              <w:t>800×300mm管孔封堵模块</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套</w:t>
            </w:r>
          </w:p>
        </w:tc>
        <w:tc>
          <w:tcPr>
            <w:tcW w:w="1242"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96</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cs="Times New Roman"/>
                <w:i w:val="0"/>
                <w:iCs w:val="0"/>
                <w:color w:val="000000"/>
                <w:kern w:val="0"/>
                <w:sz w:val="18"/>
                <w:szCs w:val="18"/>
                <w:u w:val="none"/>
                <w:lang w:val="en-US" w:eastAsia="zh-CN" w:bidi="ar"/>
              </w:rPr>
            </w:pPr>
            <w:r>
              <w:rPr>
                <w:rFonts w:hint="eastAsia"/>
                <w:szCs w:val="21"/>
                <w:lang w:val="en-US" w:eastAsia="zh-CN"/>
              </w:rPr>
              <w:t>809-7-2</w:t>
            </w:r>
          </w:p>
        </w:tc>
        <w:tc>
          <w:tcPr>
            <w:tcW w:w="1978" w:type="dxa"/>
            <w:shd w:val="clear" w:color="auto" w:fill="auto"/>
            <w:vAlign w:val="center"/>
          </w:tcPr>
          <w:p>
            <w:pPr>
              <w:spacing w:line="240" w:lineRule="auto"/>
              <w:jc w:val="center"/>
              <w:rPr>
                <w:rFonts w:hint="default" w:hAnsiTheme="minorEastAsia" w:eastAsiaTheme="minorEastAsia"/>
                <w:szCs w:val="21"/>
                <w:lang w:val="en-US" w:eastAsia="zh-CN"/>
              </w:rPr>
            </w:pPr>
            <w:r>
              <w:rPr>
                <w:rFonts w:hint="eastAsia"/>
                <w:szCs w:val="21"/>
                <w:lang w:val="en-US" w:eastAsia="zh-CN"/>
              </w:rPr>
              <w:t>Φ76mm管孔封堵模块</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套</w:t>
            </w:r>
          </w:p>
        </w:tc>
        <w:tc>
          <w:tcPr>
            <w:tcW w:w="1242"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480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cs="Times New Roman"/>
                <w:i w:val="0"/>
                <w:iCs w:val="0"/>
                <w:color w:val="000000"/>
                <w:kern w:val="0"/>
                <w:sz w:val="18"/>
                <w:szCs w:val="18"/>
                <w:u w:val="none"/>
                <w:lang w:val="en-US" w:eastAsia="zh-CN" w:bidi="ar"/>
              </w:rPr>
            </w:pPr>
            <w:r>
              <w:rPr>
                <w:rFonts w:hint="eastAsia"/>
                <w:szCs w:val="21"/>
                <w:lang w:val="en-US" w:eastAsia="zh-CN"/>
              </w:rPr>
              <w:t>809-7-3</w:t>
            </w:r>
          </w:p>
        </w:tc>
        <w:tc>
          <w:tcPr>
            <w:tcW w:w="1978" w:type="dxa"/>
            <w:shd w:val="clear" w:color="auto" w:fill="auto"/>
            <w:vAlign w:val="center"/>
          </w:tcPr>
          <w:p>
            <w:pPr>
              <w:spacing w:line="240" w:lineRule="auto"/>
              <w:jc w:val="center"/>
              <w:rPr>
                <w:rFonts w:hint="default" w:hAnsiTheme="minorEastAsia" w:eastAsiaTheme="minorEastAsia"/>
                <w:szCs w:val="21"/>
                <w:lang w:val="en-US" w:eastAsia="zh-CN"/>
              </w:rPr>
            </w:pPr>
            <w:r>
              <w:rPr>
                <w:rFonts w:hint="eastAsia"/>
                <w:szCs w:val="21"/>
                <w:lang w:val="en-US" w:eastAsia="zh-CN"/>
              </w:rPr>
              <w:t>Φ114mm管孔封堵模块</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套</w:t>
            </w:r>
          </w:p>
        </w:tc>
        <w:tc>
          <w:tcPr>
            <w:tcW w:w="1242"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300</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spacing w:line="240" w:lineRule="auto"/>
              <w:jc w:val="center"/>
              <w:rPr>
                <w:rFonts w:hint="eastAsia" w:cs="Times New Roman"/>
                <w:i w:val="0"/>
                <w:iCs w:val="0"/>
                <w:color w:val="000000"/>
                <w:kern w:val="0"/>
                <w:sz w:val="18"/>
                <w:szCs w:val="18"/>
                <w:u w:val="none"/>
                <w:lang w:val="en-US" w:eastAsia="zh-CN" w:bidi="ar"/>
              </w:rPr>
            </w:pPr>
            <w:r>
              <w:rPr>
                <w:rFonts w:hint="eastAsia"/>
                <w:szCs w:val="21"/>
                <w:lang w:val="en-US" w:eastAsia="zh-CN"/>
              </w:rPr>
              <w:t>809-7-4</w:t>
            </w:r>
          </w:p>
        </w:tc>
        <w:tc>
          <w:tcPr>
            <w:tcW w:w="1978" w:type="dxa"/>
            <w:shd w:val="clear" w:color="auto" w:fill="auto"/>
            <w:vAlign w:val="center"/>
          </w:tcPr>
          <w:p>
            <w:pPr>
              <w:spacing w:line="240" w:lineRule="auto"/>
              <w:jc w:val="center"/>
              <w:rPr>
                <w:rFonts w:hint="default" w:hAnsiTheme="minorEastAsia" w:eastAsiaTheme="minorEastAsia"/>
                <w:szCs w:val="21"/>
                <w:lang w:val="en-US" w:eastAsia="zh-CN"/>
              </w:rPr>
            </w:pPr>
            <w:r>
              <w:rPr>
                <w:rFonts w:hint="eastAsia"/>
                <w:szCs w:val="21"/>
                <w:lang w:val="en-US" w:eastAsia="zh-CN"/>
              </w:rPr>
              <w:t>Φ150mm管孔封堵模块</w:t>
            </w:r>
          </w:p>
        </w:tc>
        <w:tc>
          <w:tcPr>
            <w:tcW w:w="1097" w:type="dxa"/>
            <w:shd w:val="clear" w:color="auto" w:fill="auto"/>
            <w:vAlign w:val="center"/>
          </w:tcPr>
          <w:p>
            <w:pPr>
              <w:spacing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套</w:t>
            </w:r>
          </w:p>
        </w:tc>
        <w:tc>
          <w:tcPr>
            <w:tcW w:w="1242" w:type="dxa"/>
            <w:shd w:val="clear" w:color="auto" w:fill="auto"/>
            <w:vAlign w:val="center"/>
          </w:tcPr>
          <w:p>
            <w:pPr>
              <w:spacing w:line="240" w:lineRule="auto"/>
              <w:jc w:val="center"/>
              <w:rPr>
                <w:rFonts w:hint="eastAsia" w:hAnsiTheme="minorEastAsia" w:eastAsiaTheme="minorEastAsia"/>
                <w:szCs w:val="21"/>
                <w:lang w:val="en-US" w:eastAsia="zh-CN"/>
              </w:rPr>
            </w:pPr>
            <w:r>
              <w:rPr>
                <w:rFonts w:hint="eastAsia"/>
                <w:szCs w:val="21"/>
                <w:lang w:val="en-US" w:eastAsia="zh-CN"/>
              </w:rPr>
              <w:t>16</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2"/>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 3721972.7</w:t>
      </w:r>
      <w:bookmarkStart w:id="4" w:name="_GoBack"/>
      <w:bookmarkEnd w:id="4"/>
      <w:r>
        <w:rPr>
          <w:rFonts w:hint="eastAsia" w:cs="Times New Roman"/>
          <w:bCs/>
          <w:snapToGrid w:val="0"/>
          <w:kern w:val="0"/>
          <w:sz w:val="24"/>
          <w:szCs w:val="24"/>
          <w:lang w:val="en-US" w:eastAsia="zh-CN"/>
        </w:rPr>
        <w:t xml:space="preserve"> </w:t>
      </w:r>
      <w:r>
        <w:rPr>
          <w:rFonts w:hint="default" w:ascii="Times New Roman" w:hAnsi="Times New Roman" w:eastAsia="宋体" w:cs="Times New Roman"/>
          <w:bCs/>
          <w:snapToGrid w:val="0"/>
          <w:kern w:val="0"/>
          <w:sz w:val="24"/>
          <w:szCs w:val="24"/>
        </w:rPr>
        <w:t>元。</w:t>
      </w:r>
    </w:p>
    <w:p>
      <w:pPr>
        <w:pStyle w:val="2"/>
        <w:rPr>
          <w:rFonts w:hint="default"/>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3"/>
        <w:keepNext/>
        <w:keepLines/>
        <w:pageBreakBefore w:val="0"/>
        <w:widowControl w:val="0"/>
        <w:numPr>
          <w:numId w:val="0"/>
        </w:numPr>
        <w:tabs>
          <w:tab w:val="left" w:pos="420"/>
        </w:tabs>
        <w:kinsoku/>
        <w:wordWrap/>
        <w:overflowPunct/>
        <w:topLinePunct w:val="0"/>
        <w:autoSpaceDE/>
        <w:autoSpaceDN/>
        <w:bidi w:val="0"/>
        <w:adjustRightInd/>
        <w:snapToGrid/>
        <w:spacing w:before="0" w:after="0" w:line="360" w:lineRule="auto"/>
        <w:ind w:leftChars="0"/>
        <w:textAlignment w:val="auto"/>
        <w:rPr>
          <w:rFonts w:hint="default" w:ascii="宋体" w:hAnsi="宋体" w:eastAsia="宋体" w:cs="宋体"/>
          <w:bCs w:val="0"/>
          <w:color w:val="000000"/>
          <w:kern w:val="0"/>
          <w:sz w:val="24"/>
          <w:szCs w:val="24"/>
          <w:lang w:val="en-US" w:eastAsia="zh-CN" w:bidi="ar"/>
        </w:rPr>
      </w:pPr>
      <w:bookmarkStart w:id="0" w:name="_Toc6831"/>
      <w:r>
        <w:rPr>
          <w:rFonts w:hint="eastAsia" w:ascii="宋体" w:hAnsi="宋体" w:eastAsia="宋体" w:cs="宋体"/>
          <w:bCs w:val="0"/>
          <w:color w:val="000000"/>
          <w:kern w:val="0"/>
          <w:sz w:val="24"/>
          <w:szCs w:val="24"/>
          <w:lang w:val="en-US" w:eastAsia="zh-CN" w:bidi="ar"/>
        </w:rPr>
        <w:t>809-7 管孔封堵模块</w:t>
      </w:r>
      <w:bookmarkEnd w:id="0"/>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1.密封模块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模块应带有可剥芯层，以便调整模块的内径，使得每一个变径模块能适配一定范围内不同规格的电缆。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密封模块应实际电缆数量的 10％的进行预留。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密封模块在现场应易于安装和拆卸，增加或更换电缆时预留密封模块在现场无需进行模块重新设计。在电缆穿隔密封设施拆卸后重新安装时所有原来的密封模块和部件均应能重复使用。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2.其他要求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(1)材质要求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密封模块框架采用 316L 不锈钢，密封模块由三元乙丙无卤弹性橡胶体材料制成的，硬度为肖氏 A 级 80±5°，橡胶材料应出具国家橡胶密封制品质量监督检验中心的检测报告。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(2)水密性要求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模块化电缆密封模块的水密性要求应达到 4 bar。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(3)气密性要求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电缆穿隔密封设施的气密性不低于 2bar。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(4)振动要求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模块应具备振动测试报告，避免模块在桥梁长期振动情况下松动，根据IEC</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61373-2010 或 GB/T 21563 的要求进行测试，密封模块能达到密封防护等级IP68，并出具权威机构的测试报告。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(5)盐雾腐蚀要求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模块处于海洋大气环境，需根据 IEC 60068-2-11 或 GB/T 2423.17 以及 IEC60068-2-78或GB/T 2423.3的要求进行测试，表面完整，无开裂等影响密封性能的情况，提供权威机构耐腐蚀报告。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(6)耐高温报告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模块处于钢箱梁内，夏季箱梁密闭空间内温度高，密封模块高温试验按照 IEC 60079-0或 GB 3836.1，在 90℃±2℃，持续 24h，待试验结束 2h 后，均应表面无裂痕、无变性，并出具权威机构的试验报告。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(7)阻火要求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模块化密封系统在钢箱梁内使用应具有阻火要求，阻火模块应经过国家防火建筑材料质量监督检验中心的型式试验检验，并提供型式检验报告及阻火模块的CCCF认证证书。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(8)其他要求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电缆穿隔密封设施应具有防老鼠、白蚁和其他昆虫啃噬能力。</w:t>
      </w:r>
    </w:p>
    <w:p>
      <w:pPr>
        <w:wordWrap w:val="0"/>
        <w:spacing w:line="360" w:lineRule="auto"/>
        <w:ind w:firstLine="562" w:firstLineChars="200"/>
        <w:jc w:val="center"/>
        <w:rPr>
          <w:rFonts w:hint="default"/>
          <w:b/>
          <w:bCs/>
          <w:sz w:val="28"/>
          <w:szCs w:val="28"/>
          <w:lang w:val="en-US" w:eastAsia="zh-CN"/>
        </w:rPr>
      </w:pPr>
    </w:p>
    <w:p>
      <w:pPr>
        <w:pStyle w:val="2"/>
        <w:rPr>
          <w:rFonts w:hint="default"/>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2"/>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30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957638088</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1" w:name="_Toc332965960"/>
      <w:bookmarkStart w:id="2" w:name="_Toc332793891"/>
      <w:bookmarkStart w:id="3" w:name="_Toc332793818"/>
      <w:r>
        <w:rPr>
          <w:rFonts w:hint="default" w:ascii="Times New Roman" w:hAnsi="Times New Roman" w:eastAsia="宋体" w:cs="Times New Roman"/>
          <w:b/>
          <w:snapToGrid w:val="0"/>
          <w:kern w:val="0"/>
          <w:sz w:val="24"/>
          <w:szCs w:val="24"/>
        </w:rPr>
        <w:t>联系方式</w:t>
      </w:r>
      <w:bookmarkEnd w:id="1"/>
      <w:bookmarkEnd w:id="2"/>
      <w:bookmarkEnd w:id="3"/>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卢</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28</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7F" w:usb3="00000000" w:csb0="203F01FF" w:csb1="DFFF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77C3E1A"/>
    <w:rsid w:val="083A6841"/>
    <w:rsid w:val="08EE3671"/>
    <w:rsid w:val="09293C1C"/>
    <w:rsid w:val="092A167C"/>
    <w:rsid w:val="0A310FDA"/>
    <w:rsid w:val="0A533E8A"/>
    <w:rsid w:val="0A634ED8"/>
    <w:rsid w:val="0A69025B"/>
    <w:rsid w:val="0AB539B9"/>
    <w:rsid w:val="0B867103"/>
    <w:rsid w:val="0C397098"/>
    <w:rsid w:val="0DA26991"/>
    <w:rsid w:val="0ECB4993"/>
    <w:rsid w:val="0F2140C2"/>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184D87"/>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90B634E"/>
    <w:rsid w:val="3A1B67E7"/>
    <w:rsid w:val="3A7D6982"/>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EA0752B"/>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82E76D1"/>
    <w:rsid w:val="795270AE"/>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7">
    <w:name w:val="Body Text Indent"/>
    <w:basedOn w:val="1"/>
    <w:qFormat/>
    <w:uiPriority w:val="0"/>
    <w:pPr>
      <w:spacing w:after="120"/>
      <w:ind w:left="420" w:leftChars="200"/>
    </w:pPr>
    <w:rPr>
      <w:lang w:val="zh-CN"/>
    </w:rPr>
  </w:style>
  <w:style w:type="paragraph" w:styleId="8">
    <w:name w:val="Plain Text"/>
    <w:basedOn w:val="1"/>
    <w:next w:val="1"/>
    <w:qFormat/>
    <w:uiPriority w:val="0"/>
    <w:rPr>
      <w:rFonts w:ascii="宋体" w:hAnsi="Courier New"/>
      <w:szCs w:val="20"/>
    </w:rPr>
  </w:style>
  <w:style w:type="paragraph" w:styleId="9">
    <w:name w:val="Balloon Text"/>
    <w:basedOn w:val="1"/>
    <w:link w:val="39"/>
    <w:qFormat/>
    <w:uiPriority w:val="0"/>
    <w:rPr>
      <w:sz w:val="18"/>
      <w:szCs w:val="18"/>
    </w:rPr>
  </w:style>
  <w:style w:type="paragraph" w:styleId="10">
    <w:name w:val="footer"/>
    <w:basedOn w:val="1"/>
    <w:link w:val="16"/>
    <w:qFormat/>
    <w:uiPriority w:val="0"/>
    <w:pPr>
      <w:tabs>
        <w:tab w:val="center" w:pos="4153"/>
        <w:tab w:val="right" w:pos="8306"/>
      </w:tabs>
      <w:snapToGrid w:val="0"/>
      <w:jc w:val="left"/>
    </w:pPr>
    <w:rPr>
      <w:sz w:val="18"/>
      <w:szCs w:val="18"/>
    </w:rPr>
  </w:style>
  <w:style w:type="paragraph" w:styleId="11">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qFormat/>
    <w:uiPriority w:val="0"/>
    <w:rPr>
      <w:kern w:val="2"/>
      <w:sz w:val="18"/>
      <w:szCs w:val="18"/>
    </w:rPr>
  </w:style>
  <w:style w:type="character" w:customStyle="1" w:styleId="16">
    <w:name w:val="页脚 Char"/>
    <w:basedOn w:val="14"/>
    <w:link w:val="10"/>
    <w:qFormat/>
    <w:uiPriority w:val="0"/>
    <w:rPr>
      <w:kern w:val="2"/>
      <w:sz w:val="18"/>
      <w:szCs w:val="18"/>
    </w:rPr>
  </w:style>
  <w:style w:type="character" w:customStyle="1" w:styleId="17">
    <w:name w:val="标题 2 Char"/>
    <w:basedOn w:val="14"/>
    <w:link w:val="3"/>
    <w:qFormat/>
    <w:uiPriority w:val="0"/>
    <w:rPr>
      <w:rFonts w:ascii="Book Antiqua" w:hAnsi="Book Antiqua" w:eastAsia="黑体" w:cs="Book Antiqua"/>
      <w:bCs/>
      <w:sz w:val="36"/>
      <w:szCs w:val="36"/>
      <w:lang w:eastAsia="en-US"/>
    </w:rPr>
  </w:style>
  <w:style w:type="character" w:customStyle="1" w:styleId="18">
    <w:name w:val="标题 3 Char"/>
    <w:basedOn w:val="14"/>
    <w:link w:val="4"/>
    <w:qFormat/>
    <w:uiPriority w:val="0"/>
    <w:rPr>
      <w:rFonts w:ascii="Book Antiqua" w:hAnsi="Book Antiqua" w:eastAsia="黑体" w:cs="宋体"/>
      <w:sz w:val="32"/>
      <w:szCs w:val="32"/>
    </w:rPr>
  </w:style>
  <w:style w:type="character" w:customStyle="1" w:styleId="19">
    <w:name w:val="标题 4 Char"/>
    <w:basedOn w:val="14"/>
    <w:link w:val="5"/>
    <w:qFormat/>
    <w:uiPriority w:val="0"/>
    <w:rPr>
      <w:rFonts w:ascii="Book Antiqua" w:hAnsi="Book Antiqua" w:eastAsia="黑体" w:cs="宋体"/>
      <w:sz w:val="28"/>
      <w:szCs w:val="28"/>
    </w:rPr>
  </w:style>
  <w:style w:type="character" w:customStyle="1" w:styleId="20">
    <w:name w:val="标题 5 Char"/>
    <w:basedOn w:val="14"/>
    <w:link w:val="6"/>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6"/>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417</Words>
  <Characters>478</Characters>
  <Lines>61</Lines>
  <Paragraphs>17</Paragraphs>
  <TotalTime>2</TotalTime>
  <ScaleCrop>false</ScaleCrop>
  <LinksUpToDate>false</LinksUpToDate>
  <CharactersWithSpaces>535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2023-11-28T02:29:48Z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