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val="en-US" w:eastAsia="zh-CN"/>
        </w:rPr>
        <w:t>南沙至中山高速公路项目机电工程施工 （JD01合同段）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支架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南沙至中山高速公路项目机电工程施工 （JD01合同段）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623"/>
        <w:gridCol w:w="1249"/>
        <w:gridCol w:w="810"/>
        <w:gridCol w:w="955"/>
        <w:gridCol w:w="1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4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807-10-2-1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中分带桥架支架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20051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807-10-2-2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桥架抗风支架A型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16091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807-10-2-3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桥架抗风支架B型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7478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46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807-10-2-4</w:t>
            </w:r>
          </w:p>
        </w:tc>
        <w:tc>
          <w:tcPr>
            <w:tcW w:w="162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抗风水平支架</w:t>
            </w:r>
          </w:p>
        </w:tc>
        <w:tc>
          <w:tcPr>
            <w:tcW w:w="1249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5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2662</w:t>
            </w:r>
          </w:p>
        </w:tc>
        <w:tc>
          <w:tcPr>
            <w:tcW w:w="116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4196907.80</w:t>
      </w:r>
      <w:r>
        <w:rPr>
          <w:rFonts w:hint="default" w:ascii="Times New Roman" w:hAnsi="Times New Roman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807-10-2-1 中分带桥架支架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尺寸按图纸要求，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角钢托架，为管道过桥或壁挂安装使用。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角钢托架制作工艺应符合《热轧等边角钢尺寸、外形、重量及允许偏差》 （GB9787-1988）中对角钢的要求。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各构件外型要求平直，管端平齐，无毛刺、飞边等现象。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各构件外型要求平直，无明显歪斜，两端断面垂直。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内外表面平整光滑、色泽均匀。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所有镀锌金属件应采用热浸镀锌，镀锌层平均重量应≥600g/m2。 </w:t>
      </w:r>
    </w:p>
    <w:p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托架尺寸和形状应满足图纸及管箱或管道安装固定要求。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>807-10-2-2 桥架抗风支架A型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1.一般要求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(1)桥梁外侧支架考虑抗风设计，支架水平拖臂采用左右位置可灵活调整的成品槽道，用于卡紧桥架固定；支架竖臂采用槽钢，与护栏内预留螺栓套筒进行连接安装。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(2)支架由槽道、水平托臂、竖向槽钢、桥架连接件、桥架盖板防风扣压条、螺栓等组成，连接件与槽道锁扣通过机械连接可以调节桥架水平位置并卡紧桥架。支吊架应做到现场无焊接连接，并与结构可靠连接。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(3)支架采用 Q235B 钢材，支架与护栏内套筒的连接螺栓采用 316L 不锈钢螺栓。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2.T型螺栓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(1)T型螺栓性能等级要求不低于 8.8 级，应按 GB/T 3098.1-2010《紧固件机械性能螺栓、螺钉和螺柱》提供抗拉强度、屈服强度、保证载荷国家级检测报告。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(2) T 型螺栓连接副，应按 GB/T 3098.2-2015《紧固件机械性能 螺母》提供配套螺母保证载荷国家级检测报告。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(3) 为保证受力安全，T 型螺栓应按照 TB/T 3329-2013《电气化铁路接触网隧道内预埋槽道》提供承载力国家级检测报告。按螺栓面积折算后，M12 T 型螺栓其抗拉承载力不低于 58kN，抗剪承载力不低于 27kN。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(4)T型螺栓应进行标准紧固力矩试验， T 型螺栓失效时紧固力矩不应低于标准紧固力矩的 1.3 倍，应提供标准紧固力矩试验国家级检测报告。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3.槽道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(1)槽道材质为 Q235B，壁厚不小于 3.0mm。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(2)槽道为带矩形齿牙结构，且齿牙深度不小于 1.7mm，齿牙间距 3.5-5mm，所有配件的安装依靠机械咬合实现，以保证整个系统的可靠连接。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(3)槽道原材料应采用 Q235B 及以上级别，应满足 GB/T 700-2006《碳素结构钢》的规定，应提供国家级检测报告。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(4)依据 TB/T 3329-2013《电气化铁路接触网隧道内预埋槽道》应提供槽道与槽道螺母（槽道转接配件）的抗拉承载力和抗滑移承载力符合性国家级检测报告，抗拉、抗滑、抗剪承载力承载力值均不低于 30kN。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(5)槽道螺母（槽道锁扣）应依据 GB/T 37267-2018《建筑抗震抗震支吊架通用技术条件》进行抗疲劳测试，应提供不低于 300 万次的疲劳试验符合性国家级检测报告。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(6)槽道应为水平抗风支架预留安装条件。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4.槽钢及桥架转接配件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(1)槽钢壁厚应不小于 5mm，桥架转接配件厚应不小于 5mm。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(2)转接配件与桥架采用 M6 螺栓连接。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5.防腐要求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支架构件采用热浸镀锌处理及表面涂装结合方式，其中镀锌值≥600g/㎡，平均镀锌层厚度不小于 84µm，同时在镀锌层外涂装石墨烯防护涂料两道，每道厚度30µm；紧固件应进行热浸镀锌处理，镀锌值≥350g/㎡，平均镀锌层厚度不小于49μm，在镀锌层外涂装石墨烯防护涂料一道，厚度不低于 20μm。石墨烯防护涂料与度镀锌层间附着力不低于10Mpa，耐老化性能不低于 1200 小时。涂料性能按国家标准 GB/T 30790.1~8-2014《色漆和清漆 防护涂料体系对钢结构的防腐蚀保护》执行。以上附着力、耐老化性能和涂料性能均应提供相应国家级检测报告。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807-10-2-3 桥架抗风支架 B 型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left"/>
        <w:textAlignment w:val="auto"/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 xml:space="preserve">其他材料性能同“807-10-2-2 桥架抗风支架 A 型”。 </w:t>
      </w:r>
    </w:p>
    <w:p>
      <w:pPr>
        <w:pStyle w:val="5"/>
        <w:keepNext/>
        <w:keepLines/>
        <w:pageBreakBefore w:val="0"/>
        <w:widowControl w:val="0"/>
        <w:numPr>
          <w:ilvl w:val="3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Chars="0"/>
        <w:textAlignment w:val="auto"/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/>
        </w:rPr>
        <w:t xml:space="preserve">807-10-2-4 抗风水平支架 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/>
        </w:rPr>
      </w:pPr>
      <w:r>
        <w:rPr>
          <w:rFonts w:hint="default" w:ascii="Times New Roman" w:hAnsi="Times New Roman" w:eastAsia="宋体" w:cs="Times New Roman"/>
          <w:color w:val="000000"/>
          <w:kern w:val="0"/>
          <w:sz w:val="21"/>
          <w:szCs w:val="21"/>
          <w:lang w:val="en-US" w:eastAsia="zh-CN" w:bidi="ar"/>
        </w:rPr>
        <w:t>其他材料性能同“807-10-2-2 桥架抗风支架 A 型”</w:t>
      </w:r>
      <w:r>
        <w:rPr>
          <w:rFonts w:hint="eastAsia" w:cs="Times New Roman"/>
          <w:color w:val="000000"/>
          <w:kern w:val="0"/>
          <w:sz w:val="21"/>
          <w:szCs w:val="21"/>
          <w:lang w:val="en-US" w:eastAsia="zh-CN" w:bidi="ar"/>
        </w:rPr>
        <w:t>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1204355776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刘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F3EC3A6C"/>
    <w:multiLevelType w:val="singleLevel"/>
    <w:tmpl w:val="F3EC3A6C"/>
    <w:lvl w:ilvl="0" w:tentative="0">
      <w:start w:val="1"/>
      <w:numFmt w:val="bullet"/>
      <w:suff w:val="nothing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4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406715"/>
    <w:rsid w:val="046B1D8B"/>
    <w:rsid w:val="046E3765"/>
    <w:rsid w:val="05FC2DA4"/>
    <w:rsid w:val="06622CB2"/>
    <w:rsid w:val="06A411DD"/>
    <w:rsid w:val="06BA27AF"/>
    <w:rsid w:val="072D08E0"/>
    <w:rsid w:val="083A6841"/>
    <w:rsid w:val="08D613F6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0F2140C2"/>
    <w:rsid w:val="0FCF1650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B8051D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2235A1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2DA54BB"/>
    <w:rsid w:val="337322A8"/>
    <w:rsid w:val="33D53A32"/>
    <w:rsid w:val="34403FA4"/>
    <w:rsid w:val="34DB5F68"/>
    <w:rsid w:val="35912415"/>
    <w:rsid w:val="35B8168E"/>
    <w:rsid w:val="36C546D4"/>
    <w:rsid w:val="371778DF"/>
    <w:rsid w:val="37E62326"/>
    <w:rsid w:val="387371E8"/>
    <w:rsid w:val="38A511DA"/>
    <w:rsid w:val="38EC419A"/>
    <w:rsid w:val="390B634E"/>
    <w:rsid w:val="3A1B67E7"/>
    <w:rsid w:val="3A7D6982"/>
    <w:rsid w:val="3C047712"/>
    <w:rsid w:val="3CCC5DA0"/>
    <w:rsid w:val="3CD77495"/>
    <w:rsid w:val="3D4445A5"/>
    <w:rsid w:val="3D566086"/>
    <w:rsid w:val="3DC27043"/>
    <w:rsid w:val="3DD1395F"/>
    <w:rsid w:val="3E8C010F"/>
    <w:rsid w:val="3EFD65C9"/>
    <w:rsid w:val="3F1831BA"/>
    <w:rsid w:val="400E2C48"/>
    <w:rsid w:val="403A795B"/>
    <w:rsid w:val="4044389B"/>
    <w:rsid w:val="405A1097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3794425"/>
    <w:rsid w:val="54210D44"/>
    <w:rsid w:val="54227B28"/>
    <w:rsid w:val="55A27C63"/>
    <w:rsid w:val="55A710AE"/>
    <w:rsid w:val="560F1B9D"/>
    <w:rsid w:val="57BF2D4E"/>
    <w:rsid w:val="581C7AD1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3422A85"/>
    <w:rsid w:val="65922BE0"/>
    <w:rsid w:val="65CF770C"/>
    <w:rsid w:val="680622D3"/>
    <w:rsid w:val="6873723D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7372D57"/>
    <w:rsid w:val="782E76D1"/>
    <w:rsid w:val="795270AE"/>
    <w:rsid w:val="79870010"/>
    <w:rsid w:val="79E2018B"/>
    <w:rsid w:val="7B7610C6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7</TotalTime>
  <ScaleCrop>false</ScaleCrop>
  <LinksUpToDate>false</LinksUpToDate>
  <CharactersWithSpaces>535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2023-11-27T09:02:42Z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