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default" w:ascii="Times New Roman" w:hAnsi="Times New Roman" w:cs="Times New Roman"/>
          <w:b/>
          <w:color w:val="000000"/>
          <w:sz w:val="30"/>
          <w:szCs w:val="30"/>
          <w:lang w:val="en-US" w:eastAsia="zh-CN"/>
        </w:rPr>
        <w:t>南沙至中山高速公路项目机电工程施工 （JD01合同段）</w:t>
      </w:r>
      <w:r>
        <w:rPr>
          <w:rFonts w:hint="eastAsia" w:cs="Times New Roman"/>
          <w:b/>
          <w:color w:val="000000"/>
          <w:sz w:val="30"/>
          <w:szCs w:val="30"/>
          <w:lang w:val="en-US" w:eastAsia="zh-CN"/>
        </w:rPr>
        <w:t>操作台、桌椅</w:t>
      </w:r>
      <w:r>
        <w:rPr>
          <w:rFonts w:hint="default" w:ascii="Times New Roman" w:hAnsi="Times New Roman" w:eastAsia="宋体" w:cs="Times New Roman"/>
          <w:b/>
          <w:color w:val="000000"/>
          <w:sz w:val="30"/>
          <w:szCs w:val="30"/>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default" w:ascii="Times New Roman" w:hAnsi="Times New Roman" w:eastAsia="宋体" w:cs="Times New Roman"/>
          <w:bCs/>
          <w:snapToGrid w:val="0"/>
          <w:kern w:val="0"/>
          <w:sz w:val="24"/>
          <w:szCs w:val="24"/>
          <w:lang w:val="en-US" w:eastAsia="zh-CN"/>
        </w:rPr>
        <w:t>南沙至中山高速公路项目机电工程施工 （JD01合同段）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2025"/>
        <w:gridCol w:w="1249"/>
        <w:gridCol w:w="810"/>
        <w:gridCol w:w="955"/>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02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24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81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95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16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61"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803-1-9</w:t>
            </w:r>
          </w:p>
        </w:tc>
        <w:tc>
          <w:tcPr>
            <w:tcW w:w="202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网管操作台、桌椅</w:t>
            </w:r>
          </w:p>
        </w:tc>
        <w:tc>
          <w:tcPr>
            <w:tcW w:w="1249"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p>
        </w:tc>
        <w:tc>
          <w:tcPr>
            <w:tcW w:w="810"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套</w:t>
            </w:r>
          </w:p>
        </w:tc>
        <w:tc>
          <w:tcPr>
            <w:tcW w:w="95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1</w:t>
            </w:r>
          </w:p>
        </w:tc>
        <w:tc>
          <w:tcPr>
            <w:tcW w:w="1165" w:type="dxa"/>
            <w:shd w:val="clear" w:color="auto" w:fill="auto"/>
            <w:vAlign w:val="center"/>
          </w:tcPr>
          <w:p>
            <w:pPr>
              <w:widowControl/>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61"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803-2-9</w:t>
            </w:r>
          </w:p>
        </w:tc>
        <w:tc>
          <w:tcPr>
            <w:tcW w:w="202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操作台桌、椅</w:t>
            </w:r>
          </w:p>
        </w:tc>
        <w:tc>
          <w:tcPr>
            <w:tcW w:w="1249"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p>
        </w:tc>
        <w:tc>
          <w:tcPr>
            <w:tcW w:w="810"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套</w:t>
            </w:r>
          </w:p>
        </w:tc>
        <w:tc>
          <w:tcPr>
            <w:tcW w:w="95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1</w:t>
            </w:r>
          </w:p>
        </w:tc>
        <w:tc>
          <w:tcPr>
            <w:tcW w:w="1165" w:type="dxa"/>
            <w:shd w:val="clear" w:color="auto" w:fill="auto"/>
            <w:vAlign w:val="center"/>
          </w:tcPr>
          <w:p>
            <w:pPr>
              <w:widowControl/>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61"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804-7-3-1</w:t>
            </w:r>
          </w:p>
        </w:tc>
        <w:tc>
          <w:tcPr>
            <w:tcW w:w="202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综合控制台（10m×1.15m×0.75m）</w:t>
            </w:r>
          </w:p>
        </w:tc>
        <w:tc>
          <w:tcPr>
            <w:tcW w:w="1249"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p>
        </w:tc>
        <w:tc>
          <w:tcPr>
            <w:tcW w:w="810"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套</w:t>
            </w:r>
          </w:p>
        </w:tc>
        <w:tc>
          <w:tcPr>
            <w:tcW w:w="95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1</w:t>
            </w:r>
          </w:p>
        </w:tc>
        <w:tc>
          <w:tcPr>
            <w:tcW w:w="1165" w:type="dxa"/>
            <w:shd w:val="clear" w:color="auto" w:fill="auto"/>
            <w:vAlign w:val="center"/>
          </w:tcPr>
          <w:p>
            <w:pPr>
              <w:widowControl/>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61"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804-7-3-2</w:t>
            </w:r>
          </w:p>
        </w:tc>
        <w:tc>
          <w:tcPr>
            <w:tcW w:w="202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财务室、票管室电脑桌</w:t>
            </w:r>
          </w:p>
        </w:tc>
        <w:tc>
          <w:tcPr>
            <w:tcW w:w="1249"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p>
        </w:tc>
        <w:tc>
          <w:tcPr>
            <w:tcW w:w="810"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台</w:t>
            </w:r>
          </w:p>
        </w:tc>
        <w:tc>
          <w:tcPr>
            <w:tcW w:w="955"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4</w:t>
            </w:r>
          </w:p>
        </w:tc>
        <w:tc>
          <w:tcPr>
            <w:tcW w:w="1165" w:type="dxa"/>
            <w:shd w:val="clear" w:color="auto" w:fill="auto"/>
            <w:vAlign w:val="center"/>
          </w:tcPr>
          <w:p>
            <w:pPr>
              <w:widowControl/>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61" w:type="dxa"/>
            <w:shd w:val="clear" w:color="auto" w:fill="auto"/>
            <w:vAlign w:val="center"/>
          </w:tcPr>
          <w:p>
            <w:pPr>
              <w:spacing w:beforeLines="50" w:afterLines="50" w:line="240" w:lineRule="auto"/>
              <w:jc w:val="center"/>
              <w:rPr>
                <w:rFonts w:hint="eastAsia"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804-7-4</w:t>
            </w:r>
          </w:p>
        </w:tc>
        <w:tc>
          <w:tcPr>
            <w:tcW w:w="2025" w:type="dxa"/>
            <w:shd w:val="clear" w:color="auto" w:fill="auto"/>
            <w:vAlign w:val="center"/>
          </w:tcPr>
          <w:p>
            <w:pPr>
              <w:spacing w:beforeLines="50" w:afterLines="50" w:line="240" w:lineRule="auto"/>
              <w:jc w:val="center"/>
              <w:rPr>
                <w:rFonts w:hint="eastAsia"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活动椅</w:t>
            </w:r>
          </w:p>
        </w:tc>
        <w:tc>
          <w:tcPr>
            <w:tcW w:w="1249" w:type="dxa"/>
            <w:shd w:val="clear" w:color="auto" w:fill="auto"/>
            <w:vAlign w:val="center"/>
          </w:tcPr>
          <w:p>
            <w:pPr>
              <w:spacing w:beforeLines="50" w:afterLines="50" w:line="240" w:lineRule="auto"/>
              <w:jc w:val="center"/>
              <w:rPr>
                <w:rFonts w:hint="default" w:ascii="Times New Roman" w:hAnsi="Times New Roman" w:eastAsia="宋体" w:cs="Times New Roman"/>
                <w:sz w:val="18"/>
                <w:szCs w:val="18"/>
                <w:lang w:val="en-US" w:eastAsia="zh-CN"/>
              </w:rPr>
            </w:pPr>
          </w:p>
        </w:tc>
        <w:tc>
          <w:tcPr>
            <w:tcW w:w="810" w:type="dxa"/>
            <w:shd w:val="clear" w:color="auto" w:fill="auto"/>
            <w:vAlign w:val="center"/>
          </w:tcPr>
          <w:p>
            <w:pPr>
              <w:spacing w:beforeLines="50" w:afterLines="50" w:line="240" w:lineRule="auto"/>
              <w:jc w:val="center"/>
              <w:rPr>
                <w:rFonts w:hint="eastAsia"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把</w:t>
            </w:r>
          </w:p>
        </w:tc>
        <w:tc>
          <w:tcPr>
            <w:tcW w:w="955" w:type="dxa"/>
            <w:shd w:val="clear" w:color="auto" w:fill="auto"/>
            <w:vAlign w:val="center"/>
          </w:tcPr>
          <w:p>
            <w:pPr>
              <w:spacing w:beforeLines="50" w:afterLines="50" w:line="240" w:lineRule="auto"/>
              <w:jc w:val="center"/>
              <w:rPr>
                <w:rFonts w:hint="eastAsia" w:ascii="Times New Roman" w:hAnsi="Times New Roman" w:eastAsia="宋体" w:cs="Times New Roman"/>
                <w:sz w:val="18"/>
                <w:szCs w:val="18"/>
                <w:lang w:val="en-US" w:eastAsia="zh-CN"/>
              </w:rPr>
            </w:pPr>
            <w:r>
              <w:rPr>
                <w:rFonts w:hint="eastAsia" w:hAnsiTheme="minorEastAsia" w:eastAsiaTheme="minorEastAsia"/>
                <w:sz w:val="18"/>
                <w:szCs w:val="18"/>
                <w:lang w:val="en-US" w:eastAsia="zh-CN"/>
              </w:rPr>
              <w:t>10</w:t>
            </w:r>
          </w:p>
        </w:tc>
        <w:tc>
          <w:tcPr>
            <w:tcW w:w="1165" w:type="dxa"/>
            <w:shd w:val="clear" w:color="auto" w:fill="auto"/>
            <w:vAlign w:val="center"/>
          </w:tcPr>
          <w:p>
            <w:pPr>
              <w:widowControl/>
              <w:jc w:val="center"/>
              <w:textAlignment w:val="center"/>
              <w:rPr>
                <w:rFonts w:hint="default" w:ascii="Times New Roman" w:hAnsi="Times New Roman" w:eastAsia="宋体" w:cs="Times New Roman"/>
                <w:sz w:val="18"/>
                <w:szCs w:val="18"/>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2"/>
        <w:numPr>
          <w:ilvl w:val="0"/>
          <w:numId w:val="4"/>
        </w:numPr>
        <w:ind w:firstLine="566" w:firstLineChars="236"/>
        <w:rPr>
          <w:rFonts w:hint="default" w:ascii="Times New Roman" w:hAnsi="Times New Roman" w:cs="Times New Roman"/>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62304.00</w:t>
      </w:r>
      <w:r>
        <w:rPr>
          <w:rFonts w:hint="default" w:ascii="Times New Roman" w:hAnsi="Times New Roman" w:cs="Times New Roman"/>
          <w:bCs/>
          <w:snapToGrid w:val="0"/>
          <w:kern w:val="0"/>
          <w:sz w:val="24"/>
          <w:szCs w:val="24"/>
          <w:lang w:val="en-US" w:eastAsia="zh-CN"/>
        </w:rPr>
        <w:t xml:space="preserve"> </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cs="Times New Roman"/>
          <w:b/>
          <w:snapToGrid w:val="0"/>
          <w:kern w:val="0"/>
          <w:sz w:val="24"/>
          <w:szCs w:val="24"/>
          <w:lang w:val="en-US" w:eastAsia="zh-CN"/>
        </w:rPr>
        <w:t>技术参数</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803-1-9.网管操作台、桌椅</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在通信分中心设置光纤数字传输网管终端操作台、桌椅，基本要求如下：</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尺寸可根据现场实际情况调整，也可考虑与监控的综合控制台合用。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操作台采用木质或金属材料或其它合适的合成材料制成，长度、宽度以合理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放置设备并方便操作员操作为宜，操作台呈弧形设置。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在实现控制功能情况下，操作台各部分尺寸比例恰当，造型美观，其设计和布设应符合人体工程学，为操作员提供轻松、舒适的操作环境。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操作台布置应合理、方便操作。 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操作台表面涂层不应反光，经长时间操作后，操作员不会产生明显刺眼等不适感。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操作台的各种连接缆、线应由下部引入，其背部设活动开启门，门内上部安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放计算机主机、键盘等设备，门内下部为配线区，电源电缆和信号电缆分开铺设，或 将电缆加屏蔽，要达到业主所要求的安全标准，并要考虑到通风和散热。 </w:t>
      </w:r>
    </w:p>
    <w:p>
      <w:pPr>
        <w:wordWrap w:val="0"/>
        <w:spacing w:line="360" w:lineRule="auto"/>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承包人在加工前应至少提前一个月将操作台外观和构造的详细加工图提交给业主审查，经批准后生产。</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803-2-9.操作台桌、椅</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其功能和技术参数要求均与“803-1-9.网管操作台、桌、椅”中性能要求相同。</w:t>
      </w:r>
    </w:p>
    <w:p>
      <w:pPr>
        <w:pStyle w:val="5"/>
        <w:keepNext/>
        <w:keepLines/>
        <w:pageBreakBefore w:val="0"/>
        <w:widowControl w:val="0"/>
        <w:numPr>
          <w:ilvl w:val="3"/>
          <w:numId w:val="6"/>
        </w:numPr>
        <w:tabs>
          <w:tab w:val="clear" w:pos="0"/>
        </w:tabs>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eastAsia="宋体" w:cs="Times New Roman"/>
          <w:sz w:val="21"/>
          <w:szCs w:val="21"/>
          <w:lang w:val="en-US" w:eastAsia="zh-CN"/>
        </w:rPr>
      </w:pPr>
      <w:bookmarkStart w:id="0" w:name="_Toc27344"/>
      <w:r>
        <w:rPr>
          <w:rFonts w:hint="default" w:ascii="Times New Roman" w:hAnsi="Times New Roman" w:eastAsia="宋体" w:cs="Times New Roman"/>
          <w:sz w:val="21"/>
          <w:szCs w:val="21"/>
          <w:lang w:val="en-US" w:eastAsia="zh-CN"/>
        </w:rPr>
        <w:t>804-7-3-1.综合控制台(10m×1.15m×0.75m)</w:t>
      </w:r>
      <w:bookmarkEnd w:id="0"/>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综合控制台放置在监控大厅内，控制台尺寸为 10m×1.15m×0.75m，含活动椅。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综合控制台的机械设计应当适合中国人的身体特点及人机工效的要求，各种设备的布置应当便于操作，台面布设键盘、显示器、打印机等，下方为柜子和隔架，控制台应当保证电气安全。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主框架采用优质冷轧钢板，台面采用优质防火板，自然木或金属漆饰面。同时考虑美学、视觉特性、颜色搭配、亮度对比等要求。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在控制台正式投入生产前，施工单位应当提供详细的图纸、样品或 3D 实体效果图，用以说明设计方案和所采用的材料。 </w:t>
      </w:r>
    </w:p>
    <w:p>
      <w:pPr>
        <w:pStyle w:val="2"/>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综合控制台结构材料、样式、颜色、外观必须取得发包人的批准，方可实施。</w:t>
      </w:r>
    </w:p>
    <w:p>
      <w:pPr>
        <w:pStyle w:val="5"/>
        <w:keepNext/>
        <w:keepLines/>
        <w:pageBreakBefore w:val="0"/>
        <w:widowControl w:val="0"/>
        <w:numPr>
          <w:ilvl w:val="3"/>
          <w:numId w:val="6"/>
        </w:numPr>
        <w:tabs>
          <w:tab w:val="clear" w:pos="0"/>
        </w:tabs>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eastAsia="宋体" w:cs="Times New Roman"/>
          <w:sz w:val="21"/>
          <w:szCs w:val="21"/>
          <w:lang w:val="en-US" w:eastAsia="zh-CN"/>
        </w:rPr>
      </w:pPr>
      <w:bookmarkStart w:id="1" w:name="_Toc23647"/>
      <w:r>
        <w:rPr>
          <w:rFonts w:hint="default" w:ascii="Times New Roman" w:hAnsi="Times New Roman" w:eastAsia="宋体" w:cs="Times New Roman"/>
          <w:sz w:val="21"/>
          <w:szCs w:val="21"/>
          <w:lang w:val="en-US" w:eastAsia="zh-CN"/>
        </w:rPr>
        <w:t>804-7-3-2 财务室、票管室电脑桌</w:t>
      </w:r>
      <w:bookmarkEnd w:id="1"/>
      <w:r>
        <w:rPr>
          <w:rFonts w:hint="default" w:ascii="Times New Roman" w:hAnsi="Times New Roman" w:eastAsia="宋体" w:cs="Times New Roman"/>
          <w:sz w:val="21"/>
          <w:szCs w:val="21"/>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在收费站、收费中心站内配置电脑桌，用于电脑的安放。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采用木质或金属材料或其它合适的合成材料制成，尺寸为：1500mm(长)×950mm（宽）×900mm（高）。 </w:t>
      </w:r>
    </w:p>
    <w:p>
      <w:pPr>
        <w:pStyle w:val="2"/>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每套电脑桌应包含不少于 1.把可调节高度的座椅。</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804-7-4 活动椅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PVC 材质。</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黑框黑网。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面料材质：网布。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可旋转，可折叠，可升降。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 具有固定扶手。 </w:t>
      </w:r>
    </w:p>
    <w:p>
      <w:pPr>
        <w:numPr>
          <w:ilvl w:val="0"/>
          <w:numId w:val="0"/>
        </w:numPr>
        <w:topLinePunct/>
        <w:spacing w:line="360" w:lineRule="auto"/>
        <w:ind w:firstLine="420" w:firstLineChars="200"/>
        <w:outlineLvl w:val="1"/>
        <w:rPr>
          <w:rFonts w:hint="default" w:ascii="Times New Roman" w:hAnsi="Times New Roman" w:eastAsia="宋体" w:cs="Times New Roman"/>
          <w:b/>
          <w:snapToGrid w:val="0"/>
          <w:kern w:val="0"/>
          <w:sz w:val="24"/>
          <w:szCs w:val="24"/>
          <w:lang w:val="en-US"/>
        </w:rPr>
      </w:pPr>
      <w:r>
        <w:rPr>
          <w:rFonts w:hint="default" w:ascii="Times New Roman" w:hAnsi="Times New Roman" w:eastAsia="宋体" w:cs="Times New Roman"/>
          <w:color w:val="000000"/>
          <w:kern w:val="0"/>
          <w:sz w:val="21"/>
          <w:szCs w:val="21"/>
          <w:lang w:val="en-US" w:eastAsia="zh-CN" w:bidi="ar"/>
        </w:rPr>
        <w:t>- 采用钢质脚。</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2"/>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default" w:ascii="Times New Roman" w:hAnsi="Times New Roman"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30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bookmarkStart w:id="5" w:name="_GoBack"/>
      <w:bookmarkEnd w:id="5"/>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ascii="Times New Roman" w:hAnsi="Times New Roman" w:cs="Times New Roman"/>
          <w:color w:val="000000"/>
          <w:sz w:val="24"/>
          <w:szCs w:val="24"/>
          <w:lang w:val="en-US" w:eastAsia="zh-CN"/>
        </w:rPr>
        <w:t>1204355776</w:t>
      </w:r>
      <w:r>
        <w:rPr>
          <w:rFonts w:hint="default" w:ascii="Times New Roman" w:hAnsi="Times New Roman" w:eastAsia="宋体" w:cs="Times New Roman"/>
          <w:snapToGrid w:val="0"/>
          <w:color w:val="000000"/>
          <w:kern w:val="0"/>
          <w:sz w:val="24"/>
          <w:szCs w:val="24"/>
        </w:rPr>
        <w:t>@</w:t>
      </w:r>
      <w:r>
        <w:rPr>
          <w:rFonts w:hint="default" w:ascii="Times New Roman" w:hAnsi="Times New Roman"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2" w:name="_Toc332793891"/>
      <w:bookmarkStart w:id="3" w:name="_Toc332793818"/>
      <w:bookmarkStart w:id="4" w:name="_Toc332965960"/>
      <w:r>
        <w:rPr>
          <w:rFonts w:hint="default" w:ascii="Times New Roman" w:hAnsi="Times New Roman" w:eastAsia="宋体" w:cs="Times New Roman"/>
          <w:b/>
          <w:snapToGrid w:val="0"/>
          <w:kern w:val="0"/>
          <w:sz w:val="24"/>
          <w:szCs w:val="24"/>
        </w:rPr>
        <w:t>联系方式</w:t>
      </w:r>
      <w:bookmarkEnd w:id="2"/>
      <w:bookmarkEnd w:id="3"/>
      <w:bookmarkEnd w:id="4"/>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ascii="Times New Roman" w:hAnsi="Times New Roman" w:cs="Times New Roman"/>
          <w:color w:val="000000"/>
          <w:sz w:val="24"/>
          <w:szCs w:val="24"/>
          <w:lang w:val="en-US" w:eastAsia="zh-CN"/>
        </w:rPr>
        <w:t>刘</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default" w:ascii="Times New Roman" w:hAnsi="Times New Roman"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default" w:ascii="Times New Roman" w:hAnsi="Times New Roman" w:cs="Times New Roman"/>
          <w:color w:val="000000"/>
          <w:sz w:val="24"/>
          <w:szCs w:val="24"/>
          <w:lang w:val="en-US" w:eastAsia="zh-CN"/>
        </w:rPr>
        <w:t>2</w:t>
      </w:r>
      <w:r>
        <w:rPr>
          <w:rFonts w:hint="eastAsia" w:ascii="Times New Roman" w:hAnsi="Times New Roman" w:cs="Times New Roman"/>
          <w:color w:val="000000"/>
          <w:sz w:val="24"/>
          <w:szCs w:val="24"/>
          <w:lang w:val="en-US" w:eastAsia="zh-CN"/>
        </w:rPr>
        <w:t>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0CB2FD8"/>
    <w:multiLevelType w:val="singleLevel"/>
    <w:tmpl w:val="C0CB2FD8"/>
    <w:lvl w:ilvl="0" w:tentative="0">
      <w:start w:val="1"/>
      <w:numFmt w:val="bullet"/>
      <w:suff w:val="nothing"/>
      <w:lvlText w:val=""/>
      <w:lvlJc w:val="left"/>
      <w:pPr>
        <w:ind w:left="0" w:leftChars="0" w:firstLine="0" w:firstLineChars="0"/>
      </w:pPr>
      <w:rPr>
        <w:rFonts w:hint="default" w:ascii="Wingdings" w:hAnsi="Wingdings"/>
      </w:rPr>
    </w:lvl>
  </w:abstractNum>
  <w:abstractNum w:abstractNumId="2">
    <w:nsid w:val="CEC06D5F"/>
    <w:multiLevelType w:val="singleLevel"/>
    <w:tmpl w:val="CEC06D5F"/>
    <w:lvl w:ilvl="0" w:tentative="0">
      <w:start w:val="1"/>
      <w:numFmt w:val="decimal"/>
      <w:suff w:val="nothing"/>
      <w:lvlText w:val="（%1）"/>
      <w:lvlJc w:val="left"/>
    </w:lvl>
  </w:abstractNum>
  <w:abstractNum w:abstractNumId="3">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4">
    <w:nsid w:val="3CA891C5"/>
    <w:multiLevelType w:val="multilevel"/>
    <w:tmpl w:val="3CA891C5"/>
    <w:lvl w:ilvl="0" w:tentative="0">
      <w:start w:val="3"/>
      <w:numFmt w:val="chineseCounting"/>
      <w:suff w:val="nothing"/>
      <w:lvlText w:val="第%1章 "/>
      <w:lvlJc w:val="left"/>
      <w:pPr>
        <w:tabs>
          <w:tab w:val="left" w:pos="0"/>
        </w:tabs>
        <w:ind w:left="425" w:hanging="425"/>
      </w:pPr>
      <w:rPr>
        <w:rFonts w:hint="eastAsia"/>
        <w:sz w:val="36"/>
        <w:szCs w:val="36"/>
      </w:rPr>
    </w:lvl>
    <w:lvl w:ilvl="1" w:tentative="0">
      <w:start w:val="8"/>
      <w:numFmt w:val="decimal"/>
      <w:isLgl/>
      <w:suff w:val="space"/>
      <w:lvlText w:val="%1.%2."/>
      <w:lvlJc w:val="left"/>
      <w:pPr>
        <w:tabs>
          <w:tab w:val="left" w:pos="420"/>
        </w:tabs>
        <w:ind w:left="567" w:hanging="567"/>
      </w:pPr>
      <w:rPr>
        <w:rFonts w:hint="eastAsia"/>
      </w:rPr>
    </w:lvl>
    <w:lvl w:ilvl="2" w:tentative="0">
      <w:start w:val="1"/>
      <w:numFmt w:val="decimal"/>
      <w:isLgl/>
      <w:lvlText w:val="%1.%2.%3."/>
      <w:lvlJc w:val="left"/>
      <w:pPr>
        <w:tabs>
          <w:tab w:val="left" w:pos="420"/>
        </w:tabs>
        <w:ind w:left="709" w:hanging="709"/>
      </w:pPr>
      <w:rPr>
        <w:rFonts w:hint="eastAsia"/>
      </w:rPr>
    </w:lvl>
    <w:lvl w:ilvl="3" w:tentative="0">
      <w:start w:val="1"/>
      <w:numFmt w:val="decimal"/>
      <w:isLgl/>
      <w:suff w:val="space"/>
      <w:lvlText w:val="%1.%2.%3.%4."/>
      <w:lvlJc w:val="left"/>
      <w:pPr>
        <w:tabs>
          <w:tab w:val="left" w:pos="0"/>
        </w:tabs>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5">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A85553"/>
    <w:rsid w:val="02BE3126"/>
    <w:rsid w:val="02CF2D69"/>
    <w:rsid w:val="02E72D8C"/>
    <w:rsid w:val="03393105"/>
    <w:rsid w:val="04406715"/>
    <w:rsid w:val="046B1D8B"/>
    <w:rsid w:val="046E3765"/>
    <w:rsid w:val="05FC2DA4"/>
    <w:rsid w:val="06622CB2"/>
    <w:rsid w:val="06A411DD"/>
    <w:rsid w:val="06BA27AF"/>
    <w:rsid w:val="072D08E0"/>
    <w:rsid w:val="083A6841"/>
    <w:rsid w:val="08D613F6"/>
    <w:rsid w:val="08EE3671"/>
    <w:rsid w:val="09293C1C"/>
    <w:rsid w:val="092A167C"/>
    <w:rsid w:val="0A310FDA"/>
    <w:rsid w:val="0A533E8A"/>
    <w:rsid w:val="0A634ED8"/>
    <w:rsid w:val="0A69025B"/>
    <w:rsid w:val="0AB539B9"/>
    <w:rsid w:val="0B554854"/>
    <w:rsid w:val="0B867103"/>
    <w:rsid w:val="0C397098"/>
    <w:rsid w:val="0C420FE0"/>
    <w:rsid w:val="0DA26991"/>
    <w:rsid w:val="0ECB4993"/>
    <w:rsid w:val="0F2140C2"/>
    <w:rsid w:val="0FCF1650"/>
    <w:rsid w:val="109A432F"/>
    <w:rsid w:val="112A7044"/>
    <w:rsid w:val="118E5A06"/>
    <w:rsid w:val="123D1FC9"/>
    <w:rsid w:val="12ED5CBA"/>
    <w:rsid w:val="13AA7D91"/>
    <w:rsid w:val="140B63F8"/>
    <w:rsid w:val="14C447F8"/>
    <w:rsid w:val="156452D7"/>
    <w:rsid w:val="16AC7049"/>
    <w:rsid w:val="17471A1A"/>
    <w:rsid w:val="176F6C9D"/>
    <w:rsid w:val="17936E30"/>
    <w:rsid w:val="18606150"/>
    <w:rsid w:val="19B32EC3"/>
    <w:rsid w:val="1A071A40"/>
    <w:rsid w:val="1A786886"/>
    <w:rsid w:val="1ABD21F7"/>
    <w:rsid w:val="1CC7757C"/>
    <w:rsid w:val="1D5379E4"/>
    <w:rsid w:val="1D7E7C3A"/>
    <w:rsid w:val="1DB8051D"/>
    <w:rsid w:val="1DC008E5"/>
    <w:rsid w:val="1DD86320"/>
    <w:rsid w:val="1EFF5193"/>
    <w:rsid w:val="1F3E25C9"/>
    <w:rsid w:val="1F8905C9"/>
    <w:rsid w:val="1F9A0F77"/>
    <w:rsid w:val="1FEF3071"/>
    <w:rsid w:val="20205D7D"/>
    <w:rsid w:val="2031368A"/>
    <w:rsid w:val="2039362C"/>
    <w:rsid w:val="217E1CFE"/>
    <w:rsid w:val="24875F4B"/>
    <w:rsid w:val="252235A1"/>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2DA54BB"/>
    <w:rsid w:val="337322A8"/>
    <w:rsid w:val="33D53A32"/>
    <w:rsid w:val="34403FA4"/>
    <w:rsid w:val="34DB5F68"/>
    <w:rsid w:val="35912415"/>
    <w:rsid w:val="36C546D4"/>
    <w:rsid w:val="371778DF"/>
    <w:rsid w:val="37E62326"/>
    <w:rsid w:val="387371E8"/>
    <w:rsid w:val="38A511DA"/>
    <w:rsid w:val="38B859A5"/>
    <w:rsid w:val="38EC419A"/>
    <w:rsid w:val="390B634E"/>
    <w:rsid w:val="3A1B67E7"/>
    <w:rsid w:val="3A7D6982"/>
    <w:rsid w:val="3C047712"/>
    <w:rsid w:val="3CCC5DA0"/>
    <w:rsid w:val="3CD77495"/>
    <w:rsid w:val="3D4445A5"/>
    <w:rsid w:val="3D566086"/>
    <w:rsid w:val="3DC27043"/>
    <w:rsid w:val="3DD1395F"/>
    <w:rsid w:val="3E8C010F"/>
    <w:rsid w:val="3EFD65C9"/>
    <w:rsid w:val="3F1831BA"/>
    <w:rsid w:val="400E2C48"/>
    <w:rsid w:val="403A795B"/>
    <w:rsid w:val="4044389B"/>
    <w:rsid w:val="405A1097"/>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00F6E"/>
    <w:rsid w:val="49DC5C4D"/>
    <w:rsid w:val="4A44006F"/>
    <w:rsid w:val="4B3450B1"/>
    <w:rsid w:val="4BAE4378"/>
    <w:rsid w:val="4BFB311F"/>
    <w:rsid w:val="4DA31AFF"/>
    <w:rsid w:val="4DB34E2F"/>
    <w:rsid w:val="4FA7135F"/>
    <w:rsid w:val="50DE6FEF"/>
    <w:rsid w:val="513444D8"/>
    <w:rsid w:val="515756D7"/>
    <w:rsid w:val="52871060"/>
    <w:rsid w:val="52ED4007"/>
    <w:rsid w:val="53794425"/>
    <w:rsid w:val="540E6222"/>
    <w:rsid w:val="54210D44"/>
    <w:rsid w:val="54227B28"/>
    <w:rsid w:val="55A27C63"/>
    <w:rsid w:val="55A710AE"/>
    <w:rsid w:val="560426CB"/>
    <w:rsid w:val="560F1B9D"/>
    <w:rsid w:val="57AF036A"/>
    <w:rsid w:val="57BF2D4E"/>
    <w:rsid w:val="581C7AD1"/>
    <w:rsid w:val="58B74CBC"/>
    <w:rsid w:val="59671403"/>
    <w:rsid w:val="598A3C77"/>
    <w:rsid w:val="5B0418D0"/>
    <w:rsid w:val="5B2814D9"/>
    <w:rsid w:val="5D4D1D73"/>
    <w:rsid w:val="5D972077"/>
    <w:rsid w:val="5E8E770E"/>
    <w:rsid w:val="623B7383"/>
    <w:rsid w:val="63166D1A"/>
    <w:rsid w:val="63422A85"/>
    <w:rsid w:val="65922BE0"/>
    <w:rsid w:val="65CF770C"/>
    <w:rsid w:val="676034DA"/>
    <w:rsid w:val="680622D3"/>
    <w:rsid w:val="6873723D"/>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7372D57"/>
    <w:rsid w:val="782E76D1"/>
    <w:rsid w:val="795270AE"/>
    <w:rsid w:val="79870010"/>
    <w:rsid w:val="79E2018B"/>
    <w:rsid w:val="7B7610C6"/>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39"/>
    <w:qFormat/>
    <w:uiPriority w:val="0"/>
    <w:rPr>
      <w:sz w:val="18"/>
      <w:szCs w:val="18"/>
    </w:rPr>
  </w:style>
  <w:style w:type="paragraph" w:styleId="10">
    <w:name w:val="footer"/>
    <w:basedOn w:val="1"/>
    <w:link w:val="16"/>
    <w:qFormat/>
    <w:uiPriority w:val="0"/>
    <w:pPr>
      <w:tabs>
        <w:tab w:val="center" w:pos="4153"/>
        <w:tab w:val="right" w:pos="8306"/>
      </w:tabs>
      <w:snapToGrid w:val="0"/>
      <w:jc w:val="left"/>
    </w:pPr>
    <w:rPr>
      <w:sz w:val="18"/>
      <w:szCs w:val="18"/>
    </w:rPr>
  </w:style>
  <w:style w:type="paragraph" w:styleId="11">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qFormat/>
    <w:uiPriority w:val="0"/>
    <w:rPr>
      <w:kern w:val="2"/>
      <w:sz w:val="18"/>
      <w:szCs w:val="18"/>
    </w:rPr>
  </w:style>
  <w:style w:type="character" w:customStyle="1" w:styleId="16">
    <w:name w:val="页脚 Char"/>
    <w:basedOn w:val="14"/>
    <w:link w:val="10"/>
    <w:qFormat/>
    <w:uiPriority w:val="0"/>
    <w:rPr>
      <w:kern w:val="2"/>
      <w:sz w:val="18"/>
      <w:szCs w:val="18"/>
    </w:rPr>
  </w:style>
  <w:style w:type="character" w:customStyle="1" w:styleId="17">
    <w:name w:val="标题 2 Char"/>
    <w:basedOn w:val="14"/>
    <w:link w:val="3"/>
    <w:qFormat/>
    <w:uiPriority w:val="0"/>
    <w:rPr>
      <w:rFonts w:ascii="Book Antiqua" w:hAnsi="Book Antiqua" w:eastAsia="黑体" w:cs="Book Antiqua"/>
      <w:bCs/>
      <w:sz w:val="36"/>
      <w:szCs w:val="36"/>
      <w:lang w:eastAsia="en-US"/>
    </w:rPr>
  </w:style>
  <w:style w:type="character" w:customStyle="1" w:styleId="18">
    <w:name w:val="标题 3 Char"/>
    <w:basedOn w:val="14"/>
    <w:link w:val="4"/>
    <w:qFormat/>
    <w:uiPriority w:val="0"/>
    <w:rPr>
      <w:rFonts w:ascii="Book Antiqua" w:hAnsi="Book Antiqua" w:eastAsia="黑体" w:cs="宋体"/>
      <w:sz w:val="32"/>
      <w:szCs w:val="32"/>
    </w:rPr>
  </w:style>
  <w:style w:type="character" w:customStyle="1" w:styleId="19">
    <w:name w:val="标题 4 Char"/>
    <w:basedOn w:val="14"/>
    <w:link w:val="5"/>
    <w:qFormat/>
    <w:uiPriority w:val="0"/>
    <w:rPr>
      <w:rFonts w:ascii="Book Antiqua" w:hAnsi="Book Antiqua" w:eastAsia="黑体" w:cs="宋体"/>
      <w:sz w:val="28"/>
      <w:szCs w:val="28"/>
    </w:rPr>
  </w:style>
  <w:style w:type="character" w:customStyle="1" w:styleId="20">
    <w:name w:val="标题 5 Char"/>
    <w:basedOn w:val="14"/>
    <w:link w:val="6"/>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6"/>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417</Words>
  <Characters>478</Characters>
  <Lines>61</Lines>
  <Paragraphs>17</Paragraphs>
  <TotalTime>0</TotalTime>
  <ScaleCrop>false</ScaleCrop>
  <LinksUpToDate>false</LinksUpToDate>
  <CharactersWithSpaces>535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2023-11-27T09:07:33Z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