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（JD01合同段）工程多目一体化车牌识别器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475"/>
        <w:gridCol w:w="1363"/>
        <w:gridCol w:w="837"/>
        <w:gridCol w:w="938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802-15-2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多目一体化车牌识别器（含立柱）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320145.0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802-15-2 多目一体化车牌识别器（含立柱）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应符合 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GA/T 995-2012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和 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GA/T 832-2016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的要求；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摄相机抓拍图像不小于 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200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万像素；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能够识别车辆行驶速度：对车速在 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Okm/h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～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140km/h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范围的车辆进行识别；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sz w:val="20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通信接口：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RS232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、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RS485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、以太网接口等多种实时传输接口；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工作温度：－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20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℃～＋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70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工作湿度：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20%-90%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平均无故障时间：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MTBF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≥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30000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小时；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电磁兼容性：符合 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GB/T 17626.11-2008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车牌整牌识别率：≥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95%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车牌定位率：≥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99%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车牌字符识别率：≥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99%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具备强光抑制功能；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识别速度：≤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0.1s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输出图像色彩：彩色；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left"/>
        <w:textAlignment w:val="auto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系统自动识别 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92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式民用、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2002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式民用、警用、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 xml:space="preserve">2012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式军用、武警、港澳式及新能源等各种格式汽车号牌。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4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2023-11-24T10:38:37Z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