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cs="Times New Roman"/>
          <w:b/>
          <w:color w:val="000000"/>
          <w:sz w:val="30"/>
          <w:szCs w:val="30"/>
          <w:lang w:val="en-US" w:eastAsia="zh-CN"/>
        </w:rPr>
      </w:pPr>
      <w:r>
        <w:rPr>
          <w:rFonts w:hint="eastAsia" w:cs="Times New Roman"/>
          <w:b/>
          <w:color w:val="000000"/>
          <w:sz w:val="30"/>
          <w:szCs w:val="30"/>
          <w:lang w:val="en-US" w:eastAsia="zh-CN"/>
        </w:rPr>
        <w:t>南沙至中山高速公路项目机电工程施工 （JD01合同段）非接触IC卡、CPC卡读写器</w:t>
      </w:r>
      <w:r>
        <w:rPr>
          <w:rFonts w:hint="default" w:cs="Times New Roman"/>
          <w:b/>
          <w:color w:val="000000"/>
          <w:sz w:val="30"/>
          <w:szCs w:val="30"/>
          <w:lang w:val="en-US" w:eastAsia="zh-CN"/>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val="en-US" w:eastAsia="zh-CN"/>
        </w:rPr>
        <w:t>南沙至中山高速公路项目机电工程施工 （JD01合同段）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802-1-1</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身份卡</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张</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245</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802-1-3</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通行卡</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张</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49000</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802-1-4</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智能卡盒</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个</w:t>
            </w:r>
          </w:p>
        </w:tc>
        <w:tc>
          <w:tcPr>
            <w:tcW w:w="1242"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388</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802-2-1</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CPC卡读写器</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个</w:t>
            </w:r>
          </w:p>
        </w:tc>
        <w:tc>
          <w:tcPr>
            <w:tcW w:w="1242"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31</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2"/>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1120600.00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r>
        <w:rPr>
          <w:rFonts w:hint="eastAsia" w:ascii="宋体" w:hAnsi="Arial Unicode MS" w:eastAsia="宋体" w:cs="宋体"/>
          <w:b/>
          <w:i w:val="0"/>
          <w:kern w:val="2"/>
          <w:sz w:val="22"/>
          <w:szCs w:val="22"/>
          <w:lang w:val="en-US" w:eastAsia="zh-CN" w:bidi="ar-SA"/>
        </w:rPr>
        <w:t>1.1.1.</w:t>
      </w:r>
      <w:r>
        <w:rPr>
          <w:rFonts w:hint="eastAsia" w:ascii="宋体" w:hAnsi="宋体" w:eastAsia="宋体" w:cs="宋体"/>
          <w:sz w:val="24"/>
          <w:szCs w:val="24"/>
          <w:lang w:val="en-US" w:eastAsia="zh-CN"/>
        </w:rPr>
        <w:t xml:space="preserve"> 802-1-1.身份卡 </w:t>
      </w:r>
      <w:bookmarkStart w:id="13" w:name="_GoBack"/>
      <w:bookmarkEnd w:id="13"/>
    </w:p>
    <w:p>
      <w:pPr>
        <w:keepNext w:val="0"/>
        <w:keepLines w:val="0"/>
        <w:widowControl/>
        <w:suppressLineNumbers w:val="0"/>
        <w:jc w:val="left"/>
        <w:rPr>
          <w:sz w:val="18"/>
          <w:szCs w:val="21"/>
        </w:rPr>
      </w:pPr>
      <w:r>
        <w:rPr>
          <w:rFonts w:hint="eastAsia" w:ascii="宋体" w:hAnsi="宋体" w:eastAsia="宋体" w:cs="宋体"/>
          <w:color w:val="000000"/>
          <w:kern w:val="0"/>
          <w:sz w:val="21"/>
          <w:szCs w:val="21"/>
          <w:lang w:val="en-US" w:eastAsia="zh-CN" w:bidi="ar"/>
        </w:rPr>
        <w:t xml:space="preserve">（1）功能要求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本项目收费系统使用身份卡作为工作人员身份认证卡。身份卡属于非接触 IC 卡，应 符合国际标准 ISO14443、ISO10536 的要求，国际标准未能描述的部分应最大限度地符合广东省的实际情况，保证联网收费系统的顺畅运行。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身份卡采用 PET 或 ABS 材料制作。在高温、低温条件下不会发生扭曲、变形，在两面油污和表面潮湿的情况下仍能正常读写，并且要求卡号按照凹板印刷的方式印制在卡的表面。 </w:t>
      </w:r>
    </w:p>
    <w:p>
      <w:pPr>
        <w:keepNext w:val="0"/>
        <w:keepLines w:val="0"/>
        <w:widowControl/>
        <w:suppressLineNumbers w:val="0"/>
        <w:jc w:val="left"/>
        <w:rPr>
          <w:sz w:val="18"/>
          <w:szCs w:val="21"/>
        </w:rPr>
      </w:pPr>
      <w:r>
        <w:rPr>
          <w:rFonts w:hint="eastAsia" w:ascii="宋体" w:hAnsi="宋体" w:eastAsia="宋体" w:cs="宋体"/>
          <w:color w:val="000000"/>
          <w:kern w:val="0"/>
          <w:sz w:val="21"/>
          <w:szCs w:val="21"/>
          <w:lang w:val="en-US" w:eastAsia="zh-CN" w:bidi="ar"/>
        </w:rPr>
        <w:t xml:space="preserve">（2）发行管理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身份卡统一由省联网收费结算中心进行初始化，本路段业主员工的身份卡由各路段收费中心制作、管理。 </w:t>
      </w:r>
    </w:p>
    <w:p>
      <w:pPr>
        <w:keepNext w:val="0"/>
        <w:keepLines w:val="0"/>
        <w:widowControl/>
        <w:suppressLineNumbers w:val="0"/>
        <w:jc w:val="left"/>
        <w:rPr>
          <w:sz w:val="18"/>
          <w:szCs w:val="21"/>
        </w:rPr>
      </w:pPr>
      <w:r>
        <w:rPr>
          <w:rFonts w:hint="eastAsia" w:ascii="宋体" w:hAnsi="宋体" w:eastAsia="宋体" w:cs="宋体"/>
          <w:color w:val="000000"/>
          <w:kern w:val="0"/>
          <w:sz w:val="21"/>
          <w:szCs w:val="21"/>
          <w:lang w:val="en-US" w:eastAsia="zh-CN" w:bidi="ar"/>
        </w:rPr>
        <w:t xml:space="preserve">（3）主要技术参数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支持标准：Mikron / Mifare One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工作方式：无源，能量、数据通过射频传递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工作频率：13.56MHz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通信速度：106Kbaud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封装方式：层叠方式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拉伸强度：46.1N/mm 2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E2PROM 容量：8Kbit（16 个扇区，每个扇区 4 个块）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读写距离：0～100mm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数据保存时间：≥10 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读写次数：可重复写次数≥100,000 次、读次数无限制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典型交易时间：小于或等于 250ms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读取块的时间：不包括确认 2.5ms，包括确认 5ms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写入块+控制读取时间：不包括确认 9ms，包括确认 11ms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典型应答处理时间：≤100ms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误码率≤10-6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工作温度：-20℃～+70℃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工作湿度：10%～95%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（4）安全性功能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反不一致性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非接触式 IC 卡与复合读写器之间的三重加密算法鉴别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数据通信符合 ISO9789-4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每区可独立存储，并具有独立密钥，每块内的数据文件具有独立密钥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每张卡的序列号唯一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每张卡具有独立的唯一密钥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密钥的管理权，由业主唯一掌控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default"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IC 卡使用前应进行加密发行</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bookmarkStart w:id="0" w:name="_Toc27856"/>
      <w:bookmarkStart w:id="1" w:name="_Toc5531"/>
      <w:r>
        <w:rPr>
          <w:rFonts w:hint="eastAsia" w:ascii="宋体" w:hAnsi="Arial Unicode MS" w:eastAsia="宋体" w:cs="宋体"/>
          <w:b/>
          <w:i w:val="0"/>
          <w:kern w:val="2"/>
          <w:sz w:val="22"/>
          <w:szCs w:val="22"/>
          <w:lang w:val="en-US" w:eastAsia="zh-CN" w:bidi="ar-SA"/>
        </w:rPr>
        <w:t xml:space="preserve">1.1.2 </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 xml:space="preserve">802-1-3 </w:t>
      </w:r>
      <w:r>
        <w:rPr>
          <w:rFonts w:hint="eastAsia" w:ascii="宋体" w:hAnsi="宋体" w:eastAsia="宋体" w:cs="宋体"/>
          <w:sz w:val="24"/>
          <w:szCs w:val="24"/>
          <w:lang w:val="en-US" w:eastAsia="zh-CN"/>
        </w:rPr>
        <w:t>通行卡</w:t>
      </w:r>
      <w:bookmarkEnd w:id="0"/>
      <w:bookmarkEnd w:id="1"/>
      <w:r>
        <w:rPr>
          <w:rFonts w:hint="eastAsia" w:ascii="宋体" w:hAnsi="宋体" w:eastAsia="宋体" w:cs="宋体"/>
          <w:sz w:val="24"/>
          <w:szCs w:val="24"/>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bookmarkStart w:id="2" w:name="_Toc12765"/>
      <w:r>
        <w:rPr>
          <w:rFonts w:hint="eastAsia" w:ascii="宋体" w:hAnsi="宋体" w:eastAsia="宋体" w:cs="宋体"/>
          <w:color w:val="000000"/>
          <w:kern w:val="0"/>
          <w:sz w:val="21"/>
          <w:szCs w:val="21"/>
          <w:lang w:val="en-US" w:eastAsia="zh-CN" w:bidi="ar"/>
        </w:rPr>
        <w:t>一、功能要求</w:t>
      </w:r>
      <w:bookmarkEnd w:id="2"/>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本项目通行券采用复合通行卡（CPC），复合通行卡又称双频通行卡，具有 13.56MHz 非接触 IC 模块和 5.8GHz 射频模块的通行卡，用于记录车辆高速公路网的入口信息和路径信息。5.8GHz 射频模块采用 DSRC 技术。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复合通行卡（CPC）应符合国际标准 ISO/IEC 14443TYPE-A、GB/T 20851.2、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GB/T20851.3 、交通部第 43 号公告《高速公路复合通行卡（CPC）技术要求》的要求，国际标准未能描述的部分应最大限度地符合广东省的实际情况，保证联网收费系统的顺畅运行。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复合通行卡（CPC）外表的明文图案由发包人确定，明文图案应确保在正常情况下，图案不能剥落。不同用途的复合通行卡应有不同图案和明文编号。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bookmarkStart w:id="3" w:name="_Toc1817"/>
      <w:r>
        <w:rPr>
          <w:rFonts w:hint="eastAsia" w:ascii="宋体" w:hAnsi="宋体" w:eastAsia="宋体" w:cs="宋体"/>
          <w:color w:val="000000"/>
          <w:kern w:val="0"/>
          <w:sz w:val="21"/>
          <w:szCs w:val="21"/>
          <w:lang w:val="en-US" w:eastAsia="zh-CN" w:bidi="ar"/>
        </w:rPr>
        <w:t>二、主要技术指标</w:t>
      </w:r>
      <w:bookmarkEnd w:id="3"/>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(1)物理层要求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复合通行卡：由 13.56 MHz Mifare1.非接触 IC 卡和 5.8GHz 有源射频电子标签两部分组成，IC 卡部分用于存储车辆驶入高速公路路网入口站点、时间、车型等相关入口信息，标签部分用于存储车辆在路网中行驶的路径信息。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1"/>
          <w:szCs w:val="21"/>
          <w:lang w:val="en-US" w:eastAsia="zh-CN" w:bidi="ar"/>
        </w:rPr>
      </w:pPr>
      <w:r>
        <w:rPr>
          <w:sz w:val="18"/>
          <w:szCs w:val="21"/>
        </w:rPr>
        <w:drawing>
          <wp:inline distT="0" distB="0" distL="114300" distR="114300">
            <wp:extent cx="5269865" cy="6496685"/>
            <wp:effectExtent l="0" t="0" r="6985"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9865" cy="6496685"/>
                    </a:xfrm>
                    <a:prstGeom prst="rect">
                      <a:avLst/>
                    </a:prstGeom>
                    <a:noFill/>
                    <a:ln>
                      <a:noFill/>
                    </a:ln>
                  </pic:spPr>
                </pic:pic>
              </a:graphicData>
            </a:graphic>
          </wp:inline>
        </w:drawing>
      </w:r>
    </w:p>
    <w:p>
      <w:pPr>
        <w:keepNext w:val="0"/>
        <w:keepLines w:val="0"/>
        <w:widowControl/>
        <w:suppressLineNumbers w:val="0"/>
        <w:jc w:val="left"/>
        <w:rPr>
          <w:sz w:val="18"/>
          <w:szCs w:val="21"/>
        </w:rPr>
      </w:pPr>
      <w:r>
        <w:rPr>
          <w:rFonts w:hint="default" w:ascii="Times New Roman" w:hAnsi="Times New Roman" w:eastAsia="宋体" w:cs="Times New Roman"/>
          <w:color w:val="000000"/>
          <w:kern w:val="0"/>
          <w:sz w:val="21"/>
          <w:szCs w:val="21"/>
          <w:lang w:val="en-US" w:eastAsia="zh-CN" w:bidi="ar"/>
        </w:rPr>
        <w:t xml:space="preserve">(2) </w:t>
      </w:r>
      <w:r>
        <w:rPr>
          <w:rFonts w:hint="eastAsia" w:ascii="宋体" w:hAnsi="宋体" w:eastAsia="宋体" w:cs="宋体"/>
          <w:color w:val="000000"/>
          <w:kern w:val="0"/>
          <w:sz w:val="21"/>
          <w:szCs w:val="21"/>
          <w:lang w:val="en-US" w:eastAsia="zh-CN" w:bidi="ar"/>
        </w:rPr>
        <w:t>系统应用要求</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18"/>
          <w:szCs w:val="21"/>
        </w:rPr>
      </w:pPr>
      <w:r>
        <w:rPr>
          <w:sz w:val="18"/>
          <w:szCs w:val="21"/>
        </w:rPr>
        <w:drawing>
          <wp:inline distT="0" distB="0" distL="114300" distR="114300">
            <wp:extent cx="5273040" cy="1255395"/>
            <wp:effectExtent l="0" t="0" r="381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73040" cy="1255395"/>
                    </a:xfrm>
                    <a:prstGeom prst="rect">
                      <a:avLst/>
                    </a:prstGeom>
                    <a:noFill/>
                    <a:ln>
                      <a:noFill/>
                    </a:ln>
                  </pic:spPr>
                </pic:pic>
              </a:graphicData>
            </a:graphic>
          </wp:inline>
        </w:drawing>
      </w:r>
    </w:p>
    <w:p>
      <w:pPr>
        <w:rPr>
          <w:sz w:val="18"/>
          <w:szCs w:val="21"/>
        </w:rPr>
      </w:pPr>
      <w:r>
        <w:rPr>
          <w:sz w:val="18"/>
          <w:szCs w:val="21"/>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18"/>
          <w:szCs w:val="21"/>
        </w:rPr>
      </w:pPr>
      <w:r>
        <w:rPr>
          <w:sz w:val="18"/>
          <w:szCs w:val="21"/>
        </w:rPr>
        <w:drawing>
          <wp:inline distT="0" distB="0" distL="114300" distR="114300">
            <wp:extent cx="5269865" cy="6257925"/>
            <wp:effectExtent l="0" t="0" r="698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9865" cy="6257925"/>
                    </a:xfrm>
                    <a:prstGeom prst="rect">
                      <a:avLst/>
                    </a:prstGeom>
                    <a:noFill/>
                    <a:ln>
                      <a:noFill/>
                    </a:ln>
                  </pic:spPr>
                </pic:pic>
              </a:graphicData>
            </a:graphic>
          </wp:inline>
        </w:drawing>
      </w:r>
    </w:p>
    <w:p>
      <w:pPr>
        <w:keepNext w:val="0"/>
        <w:keepLines w:val="0"/>
        <w:widowControl/>
        <w:suppressLineNumbers w:val="0"/>
        <w:jc w:val="left"/>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 xml:space="preserve">(3) 发行及管理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1)通行卡（CPC）统一由省联网收费结算中心进行初始化、注销。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2)通行卡（CPC）的补充由省联网收费运营管理平台负责完成。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3)复合通行卡（CPC）的调拨分为路段内的调拨和路段之间的调拨。在出入口车流量不平衡的情况下，首先由路段内解决调拨问题；如果需要在路段之间进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行调拨，一律通过省联网收费运营管理平台统一处理。</w:t>
      </w:r>
    </w:p>
    <w:p>
      <w:pPr>
        <w:rPr>
          <w:rFonts w:hint="default" w:ascii="宋体" w:hAnsi="宋体" w:eastAsia="宋体" w:cs="宋体"/>
          <w:b/>
          <w:sz w:val="24"/>
          <w:szCs w:val="24"/>
          <w:lang w:val="en-US" w:eastAsia="zh-CN"/>
        </w:rPr>
      </w:pPr>
      <w:r>
        <w:rPr>
          <w:rFonts w:hint="eastAsia"/>
          <w:sz w:val="18"/>
          <w:szCs w:val="21"/>
          <w:lang w:val="en-US" w:eastAsia="zh-CN"/>
        </w:rPr>
        <w:br w:type="page"/>
      </w:r>
    </w:p>
    <w:p>
      <w:pPr>
        <w:pStyle w:val="3"/>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Arial Unicode MS" w:eastAsia="宋体" w:cs="宋体"/>
          <w:b/>
          <w:i w:val="0"/>
          <w:kern w:val="2"/>
          <w:sz w:val="24"/>
          <w:szCs w:val="24"/>
          <w:lang w:val="en-US" w:eastAsia="zh-CN" w:bidi="ar-SA"/>
        </w:rPr>
      </w:pPr>
      <w:bookmarkStart w:id="4" w:name="_Toc8553"/>
      <w:bookmarkStart w:id="5" w:name="_Toc10794"/>
      <w:r>
        <w:rPr>
          <w:rFonts w:hint="eastAsia" w:ascii="宋体" w:hAnsi="Arial Unicode MS" w:eastAsia="宋体" w:cs="宋体"/>
          <w:b/>
          <w:i w:val="0"/>
          <w:kern w:val="2"/>
          <w:sz w:val="24"/>
          <w:szCs w:val="24"/>
          <w:lang w:val="en-US" w:eastAsia="zh-CN" w:bidi="ar-SA"/>
        </w:rPr>
        <w:t xml:space="preserve">1.2 </w:t>
      </w:r>
      <w:r>
        <w:rPr>
          <w:rFonts w:hint="default" w:ascii="宋体" w:hAnsi="Arial Unicode MS" w:eastAsia="宋体" w:cs="宋体"/>
          <w:b/>
          <w:i w:val="0"/>
          <w:kern w:val="2"/>
          <w:sz w:val="24"/>
          <w:szCs w:val="24"/>
          <w:lang w:val="en-US" w:eastAsia="zh-CN" w:bidi="ar-SA"/>
        </w:rPr>
        <w:t xml:space="preserve">802-2 </w:t>
      </w:r>
      <w:r>
        <w:rPr>
          <w:rFonts w:hint="eastAsia" w:ascii="宋体" w:hAnsi="Arial Unicode MS" w:eastAsia="宋体" w:cs="宋体"/>
          <w:b/>
          <w:i w:val="0"/>
          <w:kern w:val="2"/>
          <w:sz w:val="24"/>
          <w:szCs w:val="24"/>
          <w:lang w:val="en-US" w:eastAsia="zh-CN" w:bidi="ar-SA"/>
        </w:rPr>
        <w:t xml:space="preserve">非接触 </w:t>
      </w:r>
      <w:r>
        <w:rPr>
          <w:rFonts w:hint="default" w:ascii="宋体" w:hAnsi="Arial Unicode MS" w:eastAsia="宋体" w:cs="宋体"/>
          <w:b/>
          <w:i w:val="0"/>
          <w:kern w:val="2"/>
          <w:sz w:val="24"/>
          <w:szCs w:val="24"/>
          <w:lang w:val="en-US" w:eastAsia="zh-CN" w:bidi="ar-SA"/>
        </w:rPr>
        <w:t xml:space="preserve">IC </w:t>
      </w:r>
      <w:r>
        <w:rPr>
          <w:rFonts w:hint="eastAsia" w:ascii="宋体" w:hAnsi="Arial Unicode MS" w:eastAsia="宋体" w:cs="宋体"/>
          <w:b/>
          <w:i w:val="0"/>
          <w:kern w:val="2"/>
          <w:sz w:val="24"/>
          <w:szCs w:val="24"/>
          <w:lang w:val="en-US" w:eastAsia="zh-CN" w:bidi="ar-SA"/>
        </w:rPr>
        <w:t>卡读写器</w:t>
      </w:r>
      <w:bookmarkEnd w:id="4"/>
      <w:bookmarkEnd w:id="5"/>
      <w:r>
        <w:rPr>
          <w:rFonts w:hint="eastAsia" w:ascii="宋体" w:hAnsi="Arial Unicode MS" w:eastAsia="宋体" w:cs="宋体"/>
          <w:b/>
          <w:i w:val="0"/>
          <w:kern w:val="2"/>
          <w:sz w:val="24"/>
          <w:szCs w:val="24"/>
          <w:lang w:val="en-US" w:eastAsia="zh-CN" w:bidi="ar-SA"/>
        </w:rPr>
        <w:t xml:space="preserve"> </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bookmarkStart w:id="6" w:name="_Toc26837"/>
      <w:bookmarkStart w:id="7" w:name="_Toc2913"/>
      <w:r>
        <w:rPr>
          <w:rFonts w:hint="eastAsia" w:ascii="宋体" w:hAnsi="Arial Unicode MS" w:eastAsia="宋体" w:cs="宋体"/>
          <w:b/>
          <w:i w:val="0"/>
          <w:kern w:val="2"/>
          <w:sz w:val="22"/>
          <w:szCs w:val="22"/>
          <w:lang w:val="en-US" w:eastAsia="zh-CN" w:bidi="ar-SA"/>
        </w:rPr>
        <w:t>1.2.1.</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802-2-</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 xml:space="preserve">CPC </w:t>
      </w:r>
      <w:r>
        <w:rPr>
          <w:rFonts w:hint="eastAsia" w:ascii="宋体" w:hAnsi="宋体" w:eastAsia="宋体" w:cs="宋体"/>
          <w:sz w:val="24"/>
          <w:szCs w:val="24"/>
          <w:lang w:val="en-US" w:eastAsia="zh-CN"/>
        </w:rPr>
        <w:t>卡读写器</w:t>
      </w:r>
      <w:bookmarkEnd w:id="6"/>
      <w:bookmarkEnd w:id="7"/>
      <w:r>
        <w:rPr>
          <w:rFonts w:hint="eastAsia" w:ascii="宋体" w:hAnsi="宋体" w:eastAsia="宋体" w:cs="宋体"/>
          <w:sz w:val="24"/>
          <w:szCs w:val="24"/>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bookmarkStart w:id="8" w:name="_Toc17581"/>
      <w:r>
        <w:rPr>
          <w:rFonts w:hint="eastAsia" w:ascii="宋体" w:hAnsi="宋体" w:eastAsia="宋体" w:cs="宋体"/>
          <w:color w:val="000000"/>
          <w:kern w:val="0"/>
          <w:sz w:val="21"/>
          <w:szCs w:val="21"/>
          <w:lang w:val="en-US" w:eastAsia="zh-CN" w:bidi="ar"/>
        </w:rPr>
        <w:t>一、 功能要求</w:t>
      </w:r>
      <w:bookmarkEnd w:id="8"/>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sz w:val="18"/>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）复合卡（</w:t>
      </w:r>
      <w:r>
        <w:rPr>
          <w:rFonts w:hint="default" w:ascii="Times New Roman" w:hAnsi="Times New Roman" w:eastAsia="宋体" w:cs="Times New Roman"/>
          <w:color w:val="000000"/>
          <w:kern w:val="0"/>
          <w:sz w:val="21"/>
          <w:szCs w:val="21"/>
          <w:lang w:val="en-US" w:eastAsia="zh-CN" w:bidi="ar"/>
        </w:rPr>
        <w:t>CPC</w:t>
      </w:r>
      <w:r>
        <w:rPr>
          <w:rFonts w:hint="eastAsia" w:ascii="宋体" w:hAnsi="宋体" w:eastAsia="宋体" w:cs="宋体"/>
          <w:color w:val="000000"/>
          <w:kern w:val="0"/>
          <w:sz w:val="21"/>
          <w:szCs w:val="21"/>
          <w:lang w:val="en-US" w:eastAsia="zh-CN" w:bidi="ar"/>
        </w:rPr>
        <w:t xml:space="preserve">）读写器用于读写复合通行卡的有源标签和（或）非接触式 </w:t>
      </w:r>
      <w:r>
        <w:rPr>
          <w:rFonts w:hint="default" w:ascii="Times New Roman" w:hAnsi="Times New Roman" w:eastAsia="宋体" w:cs="Times New Roman"/>
          <w:color w:val="000000"/>
          <w:kern w:val="0"/>
          <w:sz w:val="21"/>
          <w:szCs w:val="21"/>
          <w:lang w:val="en-US" w:eastAsia="zh-CN" w:bidi="ar"/>
        </w:rPr>
        <w:t xml:space="preserve">IC </w:t>
      </w:r>
      <w:r>
        <w:rPr>
          <w:rFonts w:hint="eastAsia" w:ascii="宋体" w:hAnsi="宋体" w:eastAsia="宋体" w:cs="宋体"/>
          <w:color w:val="000000"/>
          <w:kern w:val="0"/>
          <w:sz w:val="21"/>
          <w:szCs w:val="21"/>
          <w:lang w:val="en-US" w:eastAsia="zh-CN" w:bidi="ar"/>
        </w:rPr>
        <w:t xml:space="preserve">卡中的信息，发行（读写）复合通行卡，设置复合通行卡的工作状态。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sz w:val="18"/>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）复合卡（</w:t>
      </w:r>
      <w:r>
        <w:rPr>
          <w:rFonts w:hint="default" w:ascii="Times New Roman" w:hAnsi="Times New Roman" w:eastAsia="宋体" w:cs="Times New Roman"/>
          <w:color w:val="000000"/>
          <w:kern w:val="0"/>
          <w:sz w:val="21"/>
          <w:szCs w:val="21"/>
          <w:lang w:val="en-US" w:eastAsia="zh-CN" w:bidi="ar"/>
        </w:rPr>
        <w:t>CPC</w:t>
      </w:r>
      <w:r>
        <w:rPr>
          <w:rFonts w:hint="eastAsia" w:ascii="宋体" w:hAnsi="宋体" w:eastAsia="宋体" w:cs="宋体"/>
          <w:color w:val="000000"/>
          <w:kern w:val="0"/>
          <w:sz w:val="21"/>
          <w:szCs w:val="21"/>
          <w:lang w:val="en-US" w:eastAsia="zh-CN" w:bidi="ar"/>
        </w:rPr>
        <w:t xml:space="preserve">）读写器主要由读写核心单元、读写天线和接口等组成。满足复合通行卡的读写功能要求，并且符合 </w:t>
      </w:r>
      <w:r>
        <w:rPr>
          <w:rFonts w:hint="default" w:ascii="Times New Roman" w:hAnsi="Times New Roman" w:eastAsia="宋体" w:cs="Times New Roman"/>
          <w:color w:val="000000"/>
          <w:kern w:val="0"/>
          <w:sz w:val="21"/>
          <w:szCs w:val="21"/>
          <w:lang w:val="en-US" w:eastAsia="zh-CN" w:bidi="ar"/>
        </w:rPr>
        <w:t>JR/T 0025.10-2005</w:t>
      </w: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 xml:space="preserve">ISO/IEC 7816 </w:t>
      </w:r>
      <w:r>
        <w:rPr>
          <w:rFonts w:hint="eastAsia" w:ascii="宋体" w:hAnsi="宋体" w:eastAsia="宋体" w:cs="宋体"/>
          <w:color w:val="000000"/>
          <w:kern w:val="0"/>
          <w:sz w:val="21"/>
          <w:szCs w:val="21"/>
          <w:lang w:val="en-US" w:eastAsia="zh-CN" w:bidi="ar"/>
        </w:rPr>
        <w:t xml:space="preserve">和 </w:t>
      </w:r>
      <w:r>
        <w:rPr>
          <w:rFonts w:hint="default" w:ascii="Times New Roman" w:hAnsi="Times New Roman" w:eastAsia="宋体" w:cs="Times New Roman"/>
          <w:color w:val="000000"/>
          <w:kern w:val="0"/>
          <w:sz w:val="21"/>
          <w:szCs w:val="21"/>
          <w:lang w:val="en-US" w:eastAsia="zh-CN" w:bidi="ar"/>
        </w:rPr>
        <w:t xml:space="preserve">ISO/IEC14443TYPE-A </w:t>
      </w:r>
      <w:r>
        <w:rPr>
          <w:rFonts w:hint="eastAsia" w:ascii="宋体" w:hAnsi="宋体" w:eastAsia="宋体" w:cs="宋体"/>
          <w:color w:val="000000"/>
          <w:kern w:val="0"/>
          <w:sz w:val="21"/>
          <w:szCs w:val="21"/>
          <w:lang w:val="en-US" w:eastAsia="zh-CN" w:bidi="ar"/>
        </w:rPr>
        <w:t xml:space="preserve">标准的相关规定。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sz w:val="18"/>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）复合卡（</w:t>
      </w:r>
      <w:r>
        <w:rPr>
          <w:rFonts w:hint="default" w:ascii="Times New Roman" w:hAnsi="Times New Roman" w:eastAsia="宋体" w:cs="Times New Roman"/>
          <w:color w:val="000000"/>
          <w:kern w:val="0"/>
          <w:sz w:val="21"/>
          <w:szCs w:val="21"/>
          <w:lang w:val="en-US" w:eastAsia="zh-CN" w:bidi="ar"/>
        </w:rPr>
        <w:t>CPC</w:t>
      </w:r>
      <w:r>
        <w:rPr>
          <w:rFonts w:hint="eastAsia" w:ascii="宋体" w:hAnsi="宋体" w:eastAsia="宋体" w:cs="宋体"/>
          <w:color w:val="000000"/>
          <w:kern w:val="0"/>
          <w:sz w:val="21"/>
          <w:szCs w:val="21"/>
          <w:lang w:val="en-US" w:eastAsia="zh-CN" w:bidi="ar"/>
        </w:rPr>
        <w:t xml:space="preserve">）读写器能对符合全国高速公路应用的复合通行卡、逻辑加密卡（非接触式 </w:t>
      </w:r>
      <w:r>
        <w:rPr>
          <w:rFonts w:hint="default" w:ascii="Times New Roman" w:hAnsi="Times New Roman" w:eastAsia="宋体" w:cs="Times New Roman"/>
          <w:color w:val="000000"/>
          <w:kern w:val="0"/>
          <w:sz w:val="21"/>
          <w:szCs w:val="21"/>
          <w:lang w:val="en-US" w:eastAsia="zh-CN" w:bidi="ar"/>
        </w:rPr>
        <w:t xml:space="preserve">IC </w:t>
      </w:r>
      <w:r>
        <w:rPr>
          <w:rFonts w:hint="eastAsia" w:ascii="宋体" w:hAnsi="宋体" w:eastAsia="宋体" w:cs="宋体"/>
          <w:color w:val="000000"/>
          <w:kern w:val="0"/>
          <w:sz w:val="21"/>
          <w:szCs w:val="21"/>
          <w:lang w:val="en-US" w:eastAsia="zh-CN" w:bidi="ar"/>
        </w:rPr>
        <w:t xml:space="preserve">卡）和双界面 </w:t>
      </w:r>
      <w:r>
        <w:rPr>
          <w:rFonts w:hint="default" w:ascii="Times New Roman" w:hAnsi="Times New Roman" w:eastAsia="宋体" w:cs="Times New Roman"/>
          <w:color w:val="000000"/>
          <w:kern w:val="0"/>
          <w:sz w:val="21"/>
          <w:szCs w:val="21"/>
          <w:lang w:val="en-US" w:eastAsia="zh-CN" w:bidi="ar"/>
        </w:rPr>
        <w:t xml:space="preserve">CPU </w:t>
      </w:r>
      <w:r>
        <w:rPr>
          <w:rFonts w:hint="eastAsia" w:ascii="宋体" w:hAnsi="宋体" w:eastAsia="宋体" w:cs="宋体"/>
          <w:color w:val="000000"/>
          <w:kern w:val="0"/>
          <w:sz w:val="21"/>
          <w:szCs w:val="21"/>
          <w:lang w:val="en-US" w:eastAsia="zh-CN" w:bidi="ar"/>
        </w:rPr>
        <w:t xml:space="preserve">卡进行读写及相关操作，具有 </w:t>
      </w:r>
      <w:r>
        <w:rPr>
          <w:rFonts w:hint="default" w:ascii="Times New Roman" w:hAnsi="Times New Roman" w:eastAsia="宋体" w:cs="Times New Roman"/>
          <w:color w:val="000000"/>
          <w:kern w:val="0"/>
          <w:sz w:val="21"/>
          <w:szCs w:val="21"/>
          <w:lang w:val="en-US" w:eastAsia="zh-CN" w:bidi="ar"/>
        </w:rPr>
        <w:t xml:space="preserve">SAM </w:t>
      </w:r>
      <w:r>
        <w:rPr>
          <w:rFonts w:hint="eastAsia" w:ascii="宋体" w:hAnsi="宋体" w:eastAsia="宋体" w:cs="宋体"/>
          <w:color w:val="000000"/>
          <w:kern w:val="0"/>
          <w:sz w:val="21"/>
          <w:szCs w:val="21"/>
          <w:lang w:val="en-US" w:eastAsia="zh-CN" w:bidi="ar"/>
        </w:rPr>
        <w:t>认证模块，</w:t>
      </w:r>
      <w:r>
        <w:rPr>
          <w:rFonts w:hint="default" w:ascii="Times New Roman" w:hAnsi="Times New Roman" w:eastAsia="宋体" w:cs="Times New Roman"/>
          <w:color w:val="000000"/>
          <w:kern w:val="0"/>
          <w:sz w:val="21"/>
          <w:szCs w:val="21"/>
          <w:lang w:val="en-US" w:eastAsia="zh-CN" w:bidi="ar"/>
        </w:rPr>
        <w:t xml:space="preserve">SAM </w:t>
      </w:r>
      <w:r>
        <w:rPr>
          <w:rFonts w:hint="eastAsia" w:ascii="宋体" w:hAnsi="宋体" w:eastAsia="宋体" w:cs="宋体"/>
          <w:color w:val="000000"/>
          <w:kern w:val="0"/>
          <w:sz w:val="21"/>
          <w:szCs w:val="21"/>
          <w:lang w:val="en-US" w:eastAsia="zh-CN" w:bidi="ar"/>
        </w:rPr>
        <w:t xml:space="preserve">模块采用本标准之卡片应用要求规定的接触式 </w:t>
      </w:r>
      <w:r>
        <w:rPr>
          <w:rFonts w:hint="default" w:ascii="Times New Roman" w:hAnsi="Times New Roman" w:eastAsia="宋体" w:cs="Times New Roman"/>
          <w:color w:val="000000"/>
          <w:kern w:val="0"/>
          <w:sz w:val="21"/>
          <w:szCs w:val="21"/>
          <w:lang w:val="en-US" w:eastAsia="zh-CN" w:bidi="ar"/>
        </w:rPr>
        <w:t xml:space="preserve">CPU </w:t>
      </w:r>
      <w:r>
        <w:rPr>
          <w:rFonts w:hint="eastAsia" w:ascii="宋体" w:hAnsi="宋体" w:eastAsia="宋体" w:cs="宋体"/>
          <w:color w:val="000000"/>
          <w:kern w:val="0"/>
          <w:sz w:val="21"/>
          <w:szCs w:val="21"/>
          <w:lang w:val="en-US" w:eastAsia="zh-CN" w:bidi="ar"/>
        </w:rPr>
        <w:t>卡（</w:t>
      </w:r>
      <w:r>
        <w:rPr>
          <w:rFonts w:hint="default" w:ascii="Times New Roman" w:hAnsi="Times New Roman" w:eastAsia="宋体" w:cs="Times New Roman"/>
          <w:color w:val="000000"/>
          <w:kern w:val="0"/>
          <w:sz w:val="21"/>
          <w:szCs w:val="21"/>
          <w:lang w:val="en-US" w:eastAsia="zh-CN" w:bidi="ar"/>
        </w:rPr>
        <w:t xml:space="preserve">PSAM </w:t>
      </w:r>
      <w:r>
        <w:rPr>
          <w:rFonts w:hint="eastAsia" w:ascii="宋体" w:hAnsi="宋体" w:eastAsia="宋体" w:cs="宋体"/>
          <w:color w:val="000000"/>
          <w:kern w:val="0"/>
          <w:sz w:val="21"/>
          <w:szCs w:val="21"/>
          <w:lang w:val="en-US" w:eastAsia="zh-CN" w:bidi="ar"/>
        </w:rPr>
        <w:t xml:space="preserve">卡），可以完成本标准之车道系统处理流程。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sz w:val="18"/>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）复合卡（</w:t>
      </w:r>
      <w:r>
        <w:rPr>
          <w:rFonts w:hint="default" w:ascii="Times New Roman" w:hAnsi="Times New Roman" w:eastAsia="宋体" w:cs="Times New Roman"/>
          <w:color w:val="000000"/>
          <w:kern w:val="0"/>
          <w:sz w:val="21"/>
          <w:szCs w:val="21"/>
          <w:lang w:val="en-US" w:eastAsia="zh-CN" w:bidi="ar"/>
        </w:rPr>
        <w:t>CPC</w:t>
      </w:r>
      <w:r>
        <w:rPr>
          <w:rFonts w:hint="eastAsia" w:ascii="宋体" w:hAnsi="宋体" w:eastAsia="宋体" w:cs="宋体"/>
          <w:color w:val="000000"/>
          <w:kern w:val="0"/>
          <w:sz w:val="21"/>
          <w:szCs w:val="21"/>
          <w:lang w:val="en-US" w:eastAsia="zh-CN" w:bidi="ar"/>
        </w:rPr>
        <w:t>）读写器应具有极强的抗干扰能力。机箱应全封闭，防尘、防水、防震、免维护。车辆上或车道附近使用的无线电设备及各种电气装置不应对复合读写器工作造成干扰或错误读</w:t>
      </w:r>
      <w:r>
        <w:rPr>
          <w:rFonts w:hint="default" w:ascii="Times New Roman" w:hAnsi="Times New Roman" w:eastAsia="宋体" w:cs="Times New Roman"/>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 xml:space="preserve">写。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）复合卡（</w:t>
      </w:r>
      <w:r>
        <w:rPr>
          <w:rFonts w:hint="default" w:ascii="Times New Roman" w:hAnsi="Times New Roman" w:eastAsia="宋体" w:cs="Times New Roman"/>
          <w:color w:val="000000"/>
          <w:kern w:val="0"/>
          <w:sz w:val="21"/>
          <w:szCs w:val="21"/>
          <w:lang w:val="en-US" w:eastAsia="zh-CN" w:bidi="ar"/>
        </w:rPr>
        <w:t>CPC</w:t>
      </w:r>
      <w:r>
        <w:rPr>
          <w:rFonts w:hint="eastAsia" w:ascii="宋体" w:hAnsi="宋体" w:eastAsia="宋体" w:cs="宋体"/>
          <w:color w:val="000000"/>
          <w:kern w:val="0"/>
          <w:sz w:val="21"/>
          <w:szCs w:val="21"/>
          <w:lang w:val="en-US" w:eastAsia="zh-CN" w:bidi="ar"/>
        </w:rPr>
        <w:t>）读写器应配套提供密码校验等操作的标准库函数。</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bookmarkStart w:id="9" w:name="_Toc31563"/>
      <w:r>
        <w:rPr>
          <w:rFonts w:hint="eastAsia" w:ascii="宋体" w:hAnsi="宋体" w:eastAsia="宋体" w:cs="宋体"/>
          <w:color w:val="000000"/>
          <w:kern w:val="0"/>
          <w:sz w:val="21"/>
          <w:szCs w:val="21"/>
          <w:lang w:val="en-US" w:eastAsia="zh-CN" w:bidi="ar"/>
        </w:rPr>
        <w:t>二、 主要技术指标</w:t>
      </w:r>
      <w:bookmarkEnd w:id="9"/>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r>
        <w:rPr>
          <w:rFonts w:hint="default" w:ascii="宋体" w:hAnsi="宋体" w:eastAsia="宋体" w:cs="宋体"/>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 xml:space="preserve">）物理层技术要求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用于读写复合通行卡的有源标签和（或）</w:t>
      </w:r>
      <w:r>
        <w:rPr>
          <w:rFonts w:hint="default" w:ascii="宋体" w:hAnsi="宋体" w:eastAsia="宋体" w:cs="宋体"/>
          <w:color w:val="000000"/>
          <w:kern w:val="0"/>
          <w:sz w:val="21"/>
          <w:szCs w:val="21"/>
          <w:lang w:val="en-US" w:eastAsia="zh-CN" w:bidi="ar"/>
        </w:rPr>
        <w:t xml:space="preserve">IC </w:t>
      </w:r>
      <w:r>
        <w:rPr>
          <w:rFonts w:hint="eastAsia" w:ascii="宋体" w:hAnsi="宋体" w:eastAsia="宋体" w:cs="宋体"/>
          <w:color w:val="000000"/>
          <w:kern w:val="0"/>
          <w:sz w:val="21"/>
          <w:szCs w:val="21"/>
          <w:lang w:val="en-US" w:eastAsia="zh-CN" w:bidi="ar"/>
        </w:rPr>
        <w:t>卡中的信息，发行复合通行卡，设置复合通行卡的工作状态。复合卡读写器物理层技术要求应满足下表规定。</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18"/>
          <w:szCs w:val="21"/>
        </w:rPr>
      </w:pPr>
      <w:r>
        <w:rPr>
          <w:sz w:val="18"/>
          <w:szCs w:val="21"/>
        </w:rPr>
        <w:drawing>
          <wp:inline distT="0" distB="0" distL="114300" distR="114300">
            <wp:extent cx="5273040" cy="425450"/>
            <wp:effectExtent l="0" t="0" r="381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73040" cy="425450"/>
                    </a:xfrm>
                    <a:prstGeom prst="rect">
                      <a:avLst/>
                    </a:prstGeom>
                    <a:noFill/>
                    <a:ln>
                      <a:noFill/>
                    </a:ln>
                  </pic:spPr>
                </pic:pic>
              </a:graphicData>
            </a:graphic>
          </wp:inline>
        </w:drawing>
      </w:r>
    </w:p>
    <w:p>
      <w:pPr>
        <w:rPr>
          <w:rFonts w:hint="eastAsia"/>
          <w:sz w:val="18"/>
          <w:szCs w:val="21"/>
          <w:lang w:val="en-US" w:eastAsia="zh-CN"/>
        </w:rPr>
      </w:pPr>
      <w:r>
        <w:rPr>
          <w:rFonts w:hint="eastAsia"/>
          <w:sz w:val="18"/>
          <w:szCs w:val="21"/>
          <w:lang w:val="en-US" w:eastAsia="zh-CN"/>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18"/>
          <w:szCs w:val="21"/>
        </w:rPr>
      </w:pPr>
      <w:r>
        <w:rPr>
          <w:sz w:val="18"/>
          <w:szCs w:val="21"/>
        </w:rPr>
        <w:drawing>
          <wp:inline distT="0" distB="0" distL="114300" distR="114300">
            <wp:extent cx="5269865" cy="4356735"/>
            <wp:effectExtent l="0" t="0" r="698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69865" cy="435673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sz w:val="18"/>
          <w:szCs w:val="21"/>
          <w:lang w:val="en-US" w:eastAsia="zh-CN"/>
        </w:rPr>
      </w:pPr>
      <w:r>
        <w:rPr>
          <w:rFonts w:hint="eastAsia" w:ascii="宋体" w:hAnsi="宋体" w:eastAsia="宋体" w:cs="宋体"/>
          <w:color w:val="000000"/>
          <w:kern w:val="0"/>
          <w:sz w:val="21"/>
          <w:szCs w:val="21"/>
          <w:lang w:val="en-US" w:eastAsia="zh-CN" w:bidi="ar"/>
        </w:rPr>
        <w:t>（</w:t>
      </w:r>
      <w:r>
        <w:rPr>
          <w:rFonts w:hint="default" w:ascii="宋体" w:hAnsi="宋体" w:eastAsia="宋体" w:cs="宋体"/>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）系统应用要求</w:t>
      </w:r>
    </w:p>
    <w:p>
      <w:pPr>
        <w:wordWrap w:val="0"/>
        <w:spacing w:line="360" w:lineRule="auto"/>
        <w:ind w:firstLine="360" w:firstLineChars="200"/>
        <w:jc w:val="center"/>
        <w:rPr>
          <w:rFonts w:hint="default"/>
          <w:b/>
          <w:bCs/>
          <w:sz w:val="28"/>
          <w:szCs w:val="28"/>
          <w:lang w:val="en-US" w:eastAsia="zh-CN"/>
        </w:rPr>
      </w:pPr>
      <w:r>
        <w:rPr>
          <w:sz w:val="18"/>
          <w:szCs w:val="21"/>
        </w:rPr>
        <w:drawing>
          <wp:inline distT="0" distB="0" distL="114300" distR="114300">
            <wp:extent cx="5269865" cy="2652395"/>
            <wp:effectExtent l="0" t="0" r="6985" b="146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69865" cy="2652395"/>
                    </a:xfrm>
                    <a:prstGeom prst="rect">
                      <a:avLst/>
                    </a:prstGeom>
                    <a:noFill/>
                    <a:ln>
                      <a:noFill/>
                    </a:ln>
                  </pic:spPr>
                </pic:pic>
              </a:graphicData>
            </a:graphic>
          </wp:inline>
        </w:drawing>
      </w:r>
    </w:p>
    <w:p>
      <w:pPr>
        <w:pStyle w:val="2"/>
        <w:rPr>
          <w:rFonts w:hint="default"/>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2"/>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25</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10" w:name="_Toc332965960"/>
      <w:bookmarkStart w:id="11" w:name="_Toc332793891"/>
      <w:bookmarkStart w:id="12" w:name="_Toc332793818"/>
      <w:r>
        <w:rPr>
          <w:rFonts w:hint="default" w:ascii="Times New Roman" w:hAnsi="Times New Roman" w:eastAsia="宋体" w:cs="Times New Roman"/>
          <w:b/>
          <w:snapToGrid w:val="0"/>
          <w:kern w:val="0"/>
          <w:sz w:val="24"/>
          <w:szCs w:val="24"/>
        </w:rPr>
        <w:t>联系方式</w:t>
      </w:r>
      <w:bookmarkEnd w:id="10"/>
      <w:bookmarkEnd w:id="11"/>
      <w:bookmarkEnd w:id="1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23</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7F" w:usb3="00000000" w:csb0="203F01FF" w:csb1="DFFF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90B634E"/>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645E12"/>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587273C"/>
    <w:rsid w:val="760D37CC"/>
    <w:rsid w:val="795270AE"/>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39"/>
    <w:qFormat/>
    <w:uiPriority w:val="0"/>
    <w:rPr>
      <w:sz w:val="18"/>
      <w:szCs w:val="18"/>
    </w:rPr>
  </w:style>
  <w:style w:type="paragraph" w:styleId="10">
    <w:name w:val="footer"/>
    <w:basedOn w:val="1"/>
    <w:link w:val="16"/>
    <w:qFormat/>
    <w:uiPriority w:val="0"/>
    <w:pPr>
      <w:tabs>
        <w:tab w:val="center" w:pos="4153"/>
        <w:tab w:val="right" w:pos="8306"/>
      </w:tabs>
      <w:snapToGrid w:val="0"/>
      <w:jc w:val="left"/>
    </w:pPr>
    <w:rPr>
      <w:sz w:val="18"/>
      <w:szCs w:val="18"/>
    </w:rPr>
  </w:style>
  <w:style w:type="paragraph" w:styleId="11">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qFormat/>
    <w:uiPriority w:val="0"/>
    <w:rPr>
      <w:kern w:val="2"/>
      <w:sz w:val="18"/>
      <w:szCs w:val="18"/>
    </w:rPr>
  </w:style>
  <w:style w:type="character" w:customStyle="1" w:styleId="16">
    <w:name w:val="页脚 Char"/>
    <w:basedOn w:val="14"/>
    <w:link w:val="10"/>
    <w:qFormat/>
    <w:uiPriority w:val="0"/>
    <w:rPr>
      <w:kern w:val="2"/>
      <w:sz w:val="18"/>
      <w:szCs w:val="18"/>
    </w:rPr>
  </w:style>
  <w:style w:type="character" w:customStyle="1" w:styleId="17">
    <w:name w:val="标题 2 Char"/>
    <w:basedOn w:val="14"/>
    <w:link w:val="3"/>
    <w:qFormat/>
    <w:uiPriority w:val="0"/>
    <w:rPr>
      <w:rFonts w:ascii="Book Antiqua" w:hAnsi="Book Antiqua" w:eastAsia="黑体" w:cs="Book Antiqua"/>
      <w:bCs/>
      <w:sz w:val="36"/>
      <w:szCs w:val="36"/>
      <w:lang w:eastAsia="en-US"/>
    </w:rPr>
  </w:style>
  <w:style w:type="character" w:customStyle="1" w:styleId="18">
    <w:name w:val="标题 3 Char"/>
    <w:basedOn w:val="14"/>
    <w:link w:val="4"/>
    <w:qFormat/>
    <w:uiPriority w:val="0"/>
    <w:rPr>
      <w:rFonts w:ascii="Book Antiqua" w:hAnsi="Book Antiqua" w:eastAsia="黑体" w:cs="宋体"/>
      <w:sz w:val="32"/>
      <w:szCs w:val="32"/>
    </w:rPr>
  </w:style>
  <w:style w:type="character" w:customStyle="1" w:styleId="19">
    <w:name w:val="标题 4 Char"/>
    <w:basedOn w:val="14"/>
    <w:link w:val="5"/>
    <w:qFormat/>
    <w:uiPriority w:val="0"/>
    <w:rPr>
      <w:rFonts w:ascii="Book Antiqua" w:hAnsi="Book Antiqua" w:eastAsia="黑体" w:cs="宋体"/>
      <w:sz w:val="28"/>
      <w:szCs w:val="28"/>
    </w:rPr>
  </w:style>
  <w:style w:type="character" w:customStyle="1" w:styleId="20">
    <w:name w:val="标题 5 Char"/>
    <w:basedOn w:val="14"/>
    <w:link w:val="6"/>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6"/>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417</Words>
  <Characters>478</Characters>
  <Lines>61</Lines>
  <Paragraphs>17</Paragraphs>
  <TotalTime>1</TotalTime>
  <ScaleCrop>false</ScaleCrop>
  <LinksUpToDate>false</LinksUpToDate>
  <CharactersWithSpaces>535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2023-11-23T02:00:51Z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