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南沙至中山高速公路项目机电工程施工 （JD01合同段）工控机、栏杆机等设备</w:t>
      </w:r>
      <w:r>
        <w:rPr>
          <w:rFonts w:hint="default" w:ascii="Times New Roman" w:hAnsi="Times New Roman" w:eastAsia="宋体" w:cs="Times New Roman"/>
          <w:b/>
          <w:color w:val="000000"/>
          <w:sz w:val="30"/>
          <w:szCs w:val="30"/>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val="en-US" w:eastAsia="zh-CN"/>
        </w:rPr>
        <w:t>南沙至中山高速公路项目机电工程施工 （JD01合同段）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802-3-1-1</w:t>
            </w:r>
          </w:p>
        </w:tc>
        <w:tc>
          <w:tcPr>
            <w:tcW w:w="1978"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收费车道工控机</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42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6"/>
                <w:szCs w:val="16"/>
                <w:u w:val="none"/>
                <w:lang w:val="en-US" w:eastAsia="zh-CN" w:bidi="ar"/>
              </w:rPr>
              <w:t>802-3-1-2</w:t>
            </w:r>
          </w:p>
        </w:tc>
        <w:tc>
          <w:tcPr>
            <w:tcW w:w="1978"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ETC门架车道控制器</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32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802-3-1-3</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设备监控控制器</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16</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802-3-2-1</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混合车道专用键盘</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个</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28</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802-3-2-2</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ETC车道标准键盘、鼠标</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14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802-3-4-1</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普通混合车道一体化栏杆机</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14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802-3-4-2</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超宽混合车道一体化栏杆机</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14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802-3-4-3</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ETC车道一体化栏杆机</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14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802-3-5</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手动栏杆</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42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802-3-6</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票据打印机</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台</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14</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805-1-1-2</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车道工控机操作系统</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56</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left"/>
              <w:textAlignment w:val="center"/>
              <w:rPr>
                <w:rFonts w:hint="eastAsia" w:cs="Times New Roman"/>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805-1-1-3</w:t>
            </w:r>
          </w:p>
        </w:tc>
        <w:tc>
          <w:tcPr>
            <w:tcW w:w="1978" w:type="dxa"/>
            <w:shd w:val="clear" w:color="auto" w:fill="auto"/>
            <w:vAlign w:val="center"/>
          </w:tcPr>
          <w:p>
            <w:pPr>
              <w:keepNext w:val="0"/>
              <w:keepLines w:val="0"/>
              <w:widowControl/>
              <w:suppressLineNumbers w:val="0"/>
              <w:jc w:val="left"/>
              <w:textAlignment w:val="center"/>
              <w:rPr>
                <w:rFonts w:hint="default"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ETC门架工控机操作系统</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r>
              <w:rPr>
                <w:rFonts w:hint="eastAsia" w:ascii="宋体" w:hAnsi="宋体" w:eastAsia="宋体" w:cs="宋体"/>
                <w:i w:val="0"/>
                <w:iCs w:val="0"/>
                <w:color w:val="000000"/>
                <w:kern w:val="0"/>
                <w:sz w:val="16"/>
                <w:szCs w:val="16"/>
                <w:u w:val="none"/>
                <w:lang w:val="en-US" w:eastAsia="zh-CN" w:bidi="ar"/>
              </w:rPr>
              <w:t>32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2"/>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2188160.00 </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r>
        <w:rPr>
          <w:rFonts w:hint="eastAsia" w:ascii="宋体" w:hAnsi="Arial Unicode MS" w:eastAsia="宋体" w:cs="宋体"/>
          <w:b/>
          <w:i w:val="0"/>
          <w:kern w:val="2"/>
          <w:sz w:val="24"/>
          <w:szCs w:val="24"/>
          <w:lang w:val="en-US" w:eastAsia="zh-CN" w:bidi="ar-SA"/>
        </w:rPr>
        <w:t>.3.1.1.</w:t>
      </w:r>
      <w:r>
        <w:rPr>
          <w:rFonts w:hint="eastAsia" w:ascii="宋体" w:hAnsi="宋体" w:eastAsia="宋体" w:cs="宋体"/>
          <w:sz w:val="24"/>
          <w:szCs w:val="24"/>
          <w:lang w:val="en-US" w:eastAsia="zh-CN"/>
        </w:rPr>
        <w:t>802-3-1-1  收费车道工控机</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符合 GB/T 24968 的要求；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CPU：核心数：≥4核，总线程数≥8线程，总频率：3.2GHz 或同等运算能力及以上；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内存：8GB 及以上；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硬盘存储：系统盘：配置1块≥250GB SATA SSD：耐久度（TBW）：≥100；MTTF：175万小时； 数据盘：配置1块 ≥1TB SATA SSD：最高顺序读取速度（MB/s）：560；最高顺序写入速度（MB/s）：530；最高随机读取速度（IOPS）：95K；最高随机写入速度（IOPS）：85K；耐久度（TBW）：≥600；运行温度：0℃至70℃；MTTF：≥200万小时；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显示支持：支持 VGA 等输出；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串行接口：6路及以上RS232接口，至少可扩展4路RS232接口；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USB 接口：至少4 路 USB3.0；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网络端口：≥3 个千兆以太网口；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所有接口板和功能板附有光电隔离保护以减少雷电及高能浪涌的冲击；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lang w:val="en-US" w:eastAsia="zh-CN"/>
        </w:rPr>
      </w:pPr>
      <w:r>
        <w:rPr>
          <w:rFonts w:hint="eastAsia" w:ascii="宋体" w:hAnsi="宋体" w:eastAsia="宋体" w:cs="宋体"/>
          <w:color w:val="000000"/>
          <w:kern w:val="0"/>
          <w:sz w:val="24"/>
          <w:szCs w:val="24"/>
          <w:lang w:val="en-US" w:eastAsia="zh-CN" w:bidi="ar"/>
        </w:rPr>
        <w:t>— MTBF：&gt;50,000 小时。</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sz w:val="24"/>
          <w:szCs w:val="24"/>
          <w:lang w:val="en-US" w:eastAsia="zh-CN"/>
        </w:rPr>
      </w:pPr>
      <w:bookmarkStart w:id="0" w:name="_Toc12447"/>
      <w:r>
        <w:rPr>
          <w:rFonts w:hint="eastAsia" w:ascii="宋体" w:hAnsi="Arial Unicode MS" w:eastAsia="宋体" w:cs="宋体"/>
          <w:b/>
          <w:i w:val="0"/>
          <w:kern w:val="2"/>
          <w:sz w:val="24"/>
          <w:szCs w:val="24"/>
          <w:lang w:val="en-US" w:eastAsia="zh-CN" w:bidi="ar-SA"/>
        </w:rPr>
        <w:t xml:space="preserve">1.3.1.2 </w:t>
      </w:r>
      <w:r>
        <w:rPr>
          <w:rFonts w:hint="default" w:ascii="宋体" w:hAnsi="宋体" w:eastAsia="宋体" w:cs="宋体"/>
          <w:sz w:val="24"/>
          <w:szCs w:val="24"/>
          <w:lang w:val="en-US" w:eastAsia="zh-CN"/>
        </w:rPr>
        <w:t>802-3-1-2</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ETC门架车道控制器</w:t>
      </w:r>
      <w:bookmarkEnd w:id="0"/>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w:t>
      </w:r>
      <w:r>
        <w:rPr>
          <w:rFonts w:hint="default" w:ascii="宋体" w:hAnsi="宋体" w:eastAsia="宋体" w:cs="宋体"/>
          <w:color w:val="000000"/>
          <w:kern w:val="0"/>
          <w:sz w:val="24"/>
          <w:szCs w:val="24"/>
          <w:lang w:val="en-US" w:eastAsia="zh-CN" w:bidi="ar"/>
        </w:rPr>
        <w:t xml:space="preserve">CPU: </w:t>
      </w:r>
      <w:r>
        <w:rPr>
          <w:rFonts w:hint="eastAsia" w:ascii="宋体" w:hAnsi="宋体" w:eastAsia="宋体" w:cs="宋体"/>
          <w:color w:val="000000"/>
          <w:kern w:val="0"/>
          <w:sz w:val="24"/>
          <w:szCs w:val="24"/>
          <w:lang w:val="en-US" w:eastAsia="zh-CN" w:bidi="ar"/>
        </w:rPr>
        <w:t>≥四核，其中两核≥</w:t>
      </w:r>
      <w:r>
        <w:rPr>
          <w:rFonts w:hint="default" w:ascii="宋体" w:hAnsi="宋体" w:eastAsia="宋体" w:cs="宋体"/>
          <w:color w:val="000000"/>
          <w:kern w:val="0"/>
          <w:sz w:val="24"/>
          <w:szCs w:val="24"/>
          <w:lang w:val="en-US" w:eastAsia="zh-CN" w:bidi="ar"/>
        </w:rPr>
        <w:t>1.8GHz</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存储：配置</w:t>
      </w:r>
      <w:r>
        <w:rPr>
          <w:rFonts w:hint="default"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块</w:t>
      </w:r>
      <w:r>
        <w:rPr>
          <w:rFonts w:hint="default" w:ascii="宋体" w:hAnsi="宋体" w:eastAsia="宋体" w:cs="宋体"/>
          <w:color w:val="000000"/>
          <w:kern w:val="0"/>
          <w:sz w:val="24"/>
          <w:szCs w:val="24"/>
          <w:lang w:val="en-US" w:eastAsia="zh-CN" w:bidi="ar"/>
        </w:rPr>
        <w:t>3.5 HDD</w:t>
      </w: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6T</w:t>
      </w:r>
      <w:r>
        <w:rPr>
          <w:rFonts w:hint="eastAsia" w:ascii="宋体" w:hAnsi="宋体" w:eastAsia="宋体" w:cs="宋体"/>
          <w:color w:val="000000"/>
          <w:kern w:val="0"/>
          <w:sz w:val="24"/>
          <w:szCs w:val="24"/>
          <w:lang w:val="en-US" w:eastAsia="zh-CN" w:bidi="ar"/>
        </w:rPr>
        <w:t>；支持至少</w:t>
      </w:r>
      <w:r>
        <w:rPr>
          <w:rFonts w:hint="default"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个</w:t>
      </w:r>
      <w:r>
        <w:rPr>
          <w:rFonts w:hint="default" w:ascii="宋体" w:hAnsi="宋体" w:eastAsia="宋体" w:cs="宋体"/>
          <w:color w:val="000000"/>
          <w:kern w:val="0"/>
          <w:sz w:val="24"/>
          <w:szCs w:val="24"/>
          <w:lang w:val="en-US" w:eastAsia="zh-CN" w:bidi="ar"/>
        </w:rPr>
        <w:t>micro</w:t>
      </w:r>
      <w:r>
        <w:rPr>
          <w:rFonts w:hint="eastAsia" w:ascii="宋体" w:hAnsi="宋体" w:eastAsia="宋体" w:cs="宋体"/>
          <w:color w:val="000000"/>
          <w:kern w:val="0"/>
          <w:sz w:val="24"/>
          <w:szCs w:val="24"/>
          <w:lang w:val="en-US" w:eastAsia="zh-CN" w:bidi="ar"/>
        </w:rPr>
        <w:t xml:space="preserve"> </w:t>
      </w:r>
      <w:r>
        <w:rPr>
          <w:rFonts w:hint="default" w:ascii="宋体" w:hAnsi="宋体" w:eastAsia="宋体" w:cs="宋体"/>
          <w:color w:val="000000"/>
          <w:kern w:val="0"/>
          <w:sz w:val="24"/>
          <w:szCs w:val="24"/>
          <w:lang w:val="en-US" w:eastAsia="zh-CN" w:bidi="ar"/>
        </w:rPr>
        <w:t>SD</w:t>
      </w:r>
      <w:r>
        <w:rPr>
          <w:rFonts w:hint="eastAsia" w:ascii="宋体" w:hAnsi="宋体" w:eastAsia="宋体" w:cs="宋体"/>
          <w:color w:val="000000"/>
          <w:kern w:val="0"/>
          <w:sz w:val="24"/>
          <w:szCs w:val="24"/>
          <w:lang w:val="en-US" w:eastAsia="zh-CN" w:bidi="ar"/>
        </w:rPr>
        <w:t>卡（工业级）</w:t>
      </w:r>
      <w:r>
        <w:rPr>
          <w:rFonts w:hint="default"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个</w:t>
      </w:r>
      <w:r>
        <w:rPr>
          <w:rFonts w:hint="default" w:ascii="宋体" w:hAnsi="宋体" w:eastAsia="宋体" w:cs="宋体"/>
          <w:color w:val="000000"/>
          <w:kern w:val="0"/>
          <w:sz w:val="24"/>
          <w:szCs w:val="24"/>
          <w:lang w:val="en-US" w:eastAsia="zh-CN" w:bidi="ar"/>
        </w:rPr>
        <w:t>M.2</w:t>
      </w:r>
      <w:r>
        <w:rPr>
          <w:rFonts w:hint="eastAsia" w:ascii="宋体" w:hAnsi="宋体" w:eastAsia="宋体" w:cs="宋体"/>
          <w:color w:val="000000"/>
          <w:kern w:val="0"/>
          <w:sz w:val="24"/>
          <w:szCs w:val="24"/>
          <w:lang w:val="en-US" w:eastAsia="zh-CN" w:bidi="ar"/>
        </w:rPr>
        <w:t xml:space="preserve"> </w:t>
      </w:r>
      <w:r>
        <w:rPr>
          <w:rFonts w:hint="default" w:ascii="宋体" w:hAnsi="宋体" w:eastAsia="宋体" w:cs="宋体"/>
          <w:color w:val="000000"/>
          <w:kern w:val="0"/>
          <w:sz w:val="24"/>
          <w:szCs w:val="24"/>
          <w:lang w:val="en-US" w:eastAsia="zh-CN" w:bidi="ar"/>
        </w:rPr>
        <w:t>SSD</w:t>
      </w:r>
      <w:r>
        <w:rPr>
          <w:rFonts w:hint="eastAsia" w:ascii="宋体" w:hAnsi="宋体" w:eastAsia="宋体" w:cs="宋体"/>
          <w:color w:val="000000"/>
          <w:kern w:val="0"/>
          <w:sz w:val="24"/>
          <w:szCs w:val="24"/>
          <w:lang w:val="en-US" w:eastAsia="zh-CN" w:bidi="ar"/>
        </w:rPr>
        <w:t>或</w:t>
      </w:r>
      <w:r>
        <w:rPr>
          <w:rFonts w:hint="default"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个</w:t>
      </w:r>
      <w:r>
        <w:rPr>
          <w:rFonts w:hint="default" w:ascii="宋体" w:hAnsi="宋体" w:eastAsia="宋体" w:cs="宋体"/>
          <w:color w:val="000000"/>
          <w:kern w:val="0"/>
          <w:sz w:val="24"/>
          <w:szCs w:val="24"/>
          <w:lang w:val="en-US" w:eastAsia="zh-CN" w:bidi="ar"/>
        </w:rPr>
        <w:t>3.5HDD</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内存：内存 ≥</w:t>
      </w:r>
      <w:r>
        <w:rPr>
          <w:rFonts w:hint="default" w:ascii="宋体" w:hAnsi="宋体" w:eastAsia="宋体" w:cs="宋体"/>
          <w:color w:val="000000"/>
          <w:kern w:val="0"/>
          <w:sz w:val="24"/>
          <w:szCs w:val="24"/>
          <w:lang w:val="en-US" w:eastAsia="zh-CN" w:bidi="ar"/>
        </w:rPr>
        <w:t>4GB</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算力：≥</w:t>
      </w:r>
      <w:r>
        <w:rPr>
          <w:rFonts w:hint="default" w:ascii="宋体" w:hAnsi="宋体" w:eastAsia="宋体" w:cs="宋体"/>
          <w:color w:val="000000"/>
          <w:kern w:val="0"/>
          <w:sz w:val="24"/>
          <w:szCs w:val="24"/>
          <w:lang w:val="en-US" w:eastAsia="zh-CN" w:bidi="ar"/>
        </w:rPr>
        <w:t>16Tops</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网络接口：≥</w:t>
      </w:r>
      <w:r>
        <w:rPr>
          <w:rFonts w:hint="default" w:ascii="宋体" w:hAnsi="宋体" w:eastAsia="宋体" w:cs="宋体"/>
          <w:color w:val="000000"/>
          <w:kern w:val="0"/>
          <w:sz w:val="24"/>
          <w:szCs w:val="24"/>
          <w:lang w:val="en-US" w:eastAsia="zh-CN" w:bidi="ar"/>
        </w:rPr>
        <w:t xml:space="preserve">2 </w:t>
      </w:r>
      <w:r>
        <w:rPr>
          <w:rFonts w:hint="eastAsia" w:ascii="宋体" w:hAnsi="宋体" w:eastAsia="宋体" w:cs="宋体"/>
          <w:color w:val="000000"/>
          <w:kern w:val="0"/>
          <w:sz w:val="24"/>
          <w:szCs w:val="24"/>
          <w:lang w:val="en-US" w:eastAsia="zh-CN" w:bidi="ar"/>
        </w:rPr>
        <w:t xml:space="preserve">个 </w:t>
      </w:r>
      <w:r>
        <w:rPr>
          <w:rFonts w:hint="default" w:ascii="宋体" w:hAnsi="宋体" w:eastAsia="宋体" w:cs="宋体"/>
          <w:color w:val="000000"/>
          <w:kern w:val="0"/>
          <w:sz w:val="24"/>
          <w:szCs w:val="24"/>
          <w:lang w:val="en-US" w:eastAsia="zh-CN" w:bidi="ar"/>
        </w:rPr>
        <w:t xml:space="preserve">100M/1000M </w:t>
      </w:r>
      <w:r>
        <w:rPr>
          <w:rFonts w:hint="eastAsia" w:ascii="宋体" w:hAnsi="宋体" w:eastAsia="宋体" w:cs="宋体"/>
          <w:color w:val="000000"/>
          <w:kern w:val="0"/>
          <w:sz w:val="24"/>
          <w:szCs w:val="24"/>
          <w:lang w:val="en-US" w:eastAsia="zh-CN" w:bidi="ar"/>
        </w:rPr>
        <w:t xml:space="preserve">自适应以太网口数；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w:t>
      </w:r>
      <w:r>
        <w:rPr>
          <w:rFonts w:hint="default" w:ascii="宋体" w:hAnsi="宋体" w:eastAsia="宋体" w:cs="宋体"/>
          <w:color w:val="000000"/>
          <w:kern w:val="0"/>
          <w:sz w:val="24"/>
          <w:szCs w:val="24"/>
          <w:lang w:val="en-US" w:eastAsia="zh-CN" w:bidi="ar"/>
        </w:rPr>
        <w:t xml:space="preserve">USB </w:t>
      </w:r>
      <w:r>
        <w:rPr>
          <w:rFonts w:hint="eastAsia" w:ascii="宋体" w:hAnsi="宋体" w:eastAsia="宋体" w:cs="宋体"/>
          <w:color w:val="000000"/>
          <w:kern w:val="0"/>
          <w:sz w:val="24"/>
          <w:szCs w:val="24"/>
          <w:lang w:val="en-US" w:eastAsia="zh-CN" w:bidi="ar"/>
        </w:rPr>
        <w:t>接口：≥</w:t>
      </w:r>
      <w:r>
        <w:rPr>
          <w:rFonts w:hint="default" w:ascii="宋体" w:hAnsi="宋体" w:eastAsia="宋体" w:cs="宋体"/>
          <w:color w:val="000000"/>
          <w:kern w:val="0"/>
          <w:sz w:val="24"/>
          <w:szCs w:val="24"/>
          <w:lang w:val="en-US" w:eastAsia="zh-CN" w:bidi="ar"/>
        </w:rPr>
        <w:t>USB 2.0 *2</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串行接口：1.路接口及以上；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支持自动主备切换，保障业务高可靠；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功耗：典型功耗：≤</w:t>
      </w:r>
      <w:r>
        <w:rPr>
          <w:rFonts w:hint="default" w:ascii="宋体" w:hAnsi="宋体" w:eastAsia="宋体" w:cs="宋体"/>
          <w:color w:val="000000"/>
          <w:kern w:val="0"/>
          <w:sz w:val="24"/>
          <w:szCs w:val="24"/>
          <w:lang w:val="en-US" w:eastAsia="zh-CN" w:bidi="ar"/>
        </w:rPr>
        <w:t>60W</w:t>
      </w:r>
      <w:r>
        <w:rPr>
          <w:rFonts w:hint="eastAsia" w:ascii="宋体" w:hAnsi="宋体" w:eastAsia="宋体" w:cs="宋体"/>
          <w:color w:val="000000"/>
          <w:kern w:val="0"/>
          <w:sz w:val="24"/>
          <w:szCs w:val="24"/>
          <w:lang w:val="en-US" w:eastAsia="zh-CN" w:bidi="ar"/>
        </w:rPr>
        <w:t xml:space="preserve">（含加热模块）；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供电：</w:t>
      </w:r>
      <w:r>
        <w:rPr>
          <w:rFonts w:hint="default" w:ascii="宋体" w:hAnsi="宋体" w:eastAsia="宋体" w:cs="宋体"/>
          <w:color w:val="000000"/>
          <w:kern w:val="0"/>
          <w:sz w:val="24"/>
          <w:szCs w:val="24"/>
          <w:lang w:val="en-US" w:eastAsia="zh-CN" w:bidi="ar"/>
        </w:rPr>
        <w:t xml:space="preserve">12V </w:t>
      </w:r>
      <w:r>
        <w:rPr>
          <w:rFonts w:hint="eastAsia" w:ascii="宋体" w:hAnsi="宋体" w:eastAsia="宋体" w:cs="宋体"/>
          <w:color w:val="000000"/>
          <w:kern w:val="0"/>
          <w:sz w:val="24"/>
          <w:szCs w:val="24"/>
          <w:lang w:val="en-US" w:eastAsia="zh-CN" w:bidi="ar"/>
        </w:rPr>
        <w:t xml:space="preserve">供电；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环境：工作温度为</w:t>
      </w:r>
      <w:r>
        <w:rPr>
          <w:rFonts w:hint="default" w:ascii="宋体" w:hAnsi="宋体" w:eastAsia="宋体" w:cs="宋体"/>
          <w:color w:val="000000"/>
          <w:kern w:val="0"/>
          <w:sz w:val="24"/>
          <w:szCs w:val="24"/>
          <w:lang w:val="en-US" w:eastAsia="zh-CN" w:bidi="ar"/>
        </w:rPr>
        <w:t>-40</w:t>
      </w: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~70</w:t>
      </w:r>
      <w:r>
        <w:rPr>
          <w:rFonts w:hint="eastAsia" w:ascii="宋体" w:hAnsi="宋体" w:eastAsia="宋体" w:cs="宋体"/>
          <w:color w:val="000000"/>
          <w:kern w:val="0"/>
          <w:sz w:val="24"/>
          <w:szCs w:val="24"/>
          <w:lang w:val="en-US" w:eastAsia="zh-CN" w:bidi="ar"/>
        </w:rPr>
        <w:t xml:space="preserve">℃，嵌入式设计，采用 </w:t>
      </w:r>
      <w:r>
        <w:rPr>
          <w:rFonts w:hint="default" w:ascii="宋体" w:hAnsi="宋体" w:eastAsia="宋体" w:cs="宋体"/>
          <w:color w:val="000000"/>
          <w:kern w:val="0"/>
          <w:sz w:val="24"/>
          <w:szCs w:val="24"/>
          <w:lang w:val="en-US" w:eastAsia="zh-CN" w:bidi="ar"/>
        </w:rPr>
        <w:t xml:space="preserve">TEC </w:t>
      </w:r>
      <w:r>
        <w:rPr>
          <w:rFonts w:hint="eastAsia" w:ascii="宋体" w:hAnsi="宋体" w:eastAsia="宋体" w:cs="宋体"/>
          <w:color w:val="000000"/>
          <w:kern w:val="0"/>
          <w:sz w:val="24"/>
          <w:szCs w:val="24"/>
          <w:lang w:val="en-US" w:eastAsia="zh-CN" w:bidi="ar"/>
        </w:rPr>
        <w:t xml:space="preserve">对 </w:t>
      </w:r>
      <w:r>
        <w:rPr>
          <w:rFonts w:hint="default" w:ascii="宋体" w:hAnsi="宋体" w:eastAsia="宋体" w:cs="宋体"/>
          <w:color w:val="000000"/>
          <w:kern w:val="0"/>
          <w:sz w:val="24"/>
          <w:szCs w:val="24"/>
          <w:lang w:val="en-US" w:eastAsia="zh-CN" w:bidi="ar"/>
        </w:rPr>
        <w:t xml:space="preserve">HDD </w:t>
      </w:r>
      <w:r>
        <w:rPr>
          <w:rFonts w:hint="eastAsia" w:ascii="宋体" w:hAnsi="宋体" w:eastAsia="宋体" w:cs="宋体"/>
          <w:color w:val="000000"/>
          <w:kern w:val="0"/>
          <w:sz w:val="24"/>
          <w:szCs w:val="24"/>
          <w:lang w:val="en-US" w:eastAsia="zh-CN" w:bidi="ar"/>
        </w:rPr>
        <w:t xml:space="preserve">制冷和加热满足室外部署，自然散热；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整机散热：选用嵌入式无风扇自然散热设计。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容器：业务支持容器部署，对具体硬件环境不感知。不同容器业务内核级隔离，并提供独立的虚拟的操作系统运行环境和接口可以实现对收费软件的快速部署，减少对开发运行环境的依赖；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可采用满足同等功能、性能和使用需求的其他架构类型设备。</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sz w:val="24"/>
          <w:szCs w:val="24"/>
          <w:lang w:val="en-US" w:eastAsia="zh-CN"/>
        </w:rPr>
      </w:pPr>
      <w:bookmarkStart w:id="1" w:name="_Toc22367"/>
      <w:r>
        <w:rPr>
          <w:rFonts w:hint="eastAsia" w:ascii="宋体" w:hAnsi="Arial Unicode MS" w:eastAsia="宋体" w:cs="宋体"/>
          <w:b/>
          <w:i w:val="0"/>
          <w:kern w:val="2"/>
          <w:sz w:val="24"/>
          <w:szCs w:val="24"/>
          <w:lang w:val="en-US" w:eastAsia="zh-CN" w:bidi="ar-SA"/>
        </w:rPr>
        <w:t xml:space="preserve">1.3.1.3 </w:t>
      </w:r>
      <w:r>
        <w:rPr>
          <w:rFonts w:hint="default" w:ascii="宋体" w:hAnsi="宋体" w:eastAsia="宋体" w:cs="宋体"/>
          <w:sz w:val="24"/>
          <w:szCs w:val="24"/>
          <w:lang w:val="en-US" w:eastAsia="zh-CN"/>
        </w:rPr>
        <w:t>802-3-1-3</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设备监控控制器</w:t>
      </w:r>
      <w:bookmarkEnd w:id="1"/>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无相关参数</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bookmarkStart w:id="2" w:name="_Toc23768"/>
      <w:r>
        <w:rPr>
          <w:rFonts w:hint="eastAsia" w:ascii="宋体" w:hAnsi="Arial Unicode MS" w:eastAsia="宋体" w:cs="宋体"/>
          <w:b/>
          <w:i w:val="0"/>
          <w:kern w:val="2"/>
          <w:sz w:val="24"/>
          <w:szCs w:val="24"/>
          <w:lang w:val="en-US" w:eastAsia="zh-CN" w:bidi="ar-SA"/>
        </w:rPr>
        <w:t>1.3.2.1.</w:t>
      </w:r>
      <w:r>
        <w:rPr>
          <w:rFonts w:hint="default" w:ascii="宋体" w:hAnsi="宋体" w:eastAsia="宋体" w:cs="宋体"/>
          <w:sz w:val="24"/>
          <w:szCs w:val="24"/>
          <w:lang w:val="en-US" w:eastAsia="zh-CN"/>
        </w:rPr>
        <w:t>802-3-2-</w:t>
      </w:r>
      <w:r>
        <w:rPr>
          <w:rFonts w:hint="eastAsia" w:ascii="宋体" w:hAnsi="宋体" w:eastAsia="宋体" w:cs="宋体"/>
          <w:sz w:val="24"/>
          <w:szCs w:val="24"/>
          <w:lang w:val="en-US" w:eastAsia="zh-CN"/>
        </w:rPr>
        <w:t>1. 混合车道专用键盘</w:t>
      </w:r>
      <w:bookmarkEnd w:id="2"/>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-不锈钢外壳；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-按键开关采用进口高可靠长寿命的二段式机械开关，手感舒适；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-键帽采用双层结构，保证在使用寿命期限内字符不磨损；</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-键码、键帽印刷中文字符，具体内容按布局要求制作；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-键盘设有防水、防尘保护膜，防护等级不低于IP55；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-有抗电磁干扰措施，保证在强电磁干扰环境中能可靠地使用，应符合 GB/T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12190；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-接口设置为 PS/2 小口，另带一个外接维护用标准 PC 键盘的 PS/2 口；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-工作电压：5V DC；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-工作电流：≤250mA；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-工作环境要求：工作温度：-20～55℃ ，工作湿度：10～95%；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-平均无故障时间 MTBF：≥30 000 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-单键使用寿命：≥1.千万键次。</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sz w:val="24"/>
          <w:szCs w:val="24"/>
          <w:lang w:val="en-US" w:eastAsia="zh-CN"/>
        </w:rPr>
      </w:pPr>
      <w:bookmarkStart w:id="3" w:name="_Toc5774"/>
      <w:r>
        <w:rPr>
          <w:rFonts w:hint="eastAsia" w:ascii="宋体" w:hAnsi="Arial Unicode MS" w:eastAsia="宋体" w:cs="宋体"/>
          <w:b/>
          <w:i w:val="0"/>
          <w:kern w:val="2"/>
          <w:sz w:val="24"/>
          <w:szCs w:val="24"/>
          <w:lang w:val="en-US" w:eastAsia="zh-CN" w:bidi="ar-SA"/>
        </w:rPr>
        <w:t xml:space="preserve">1.3.2.2 </w:t>
      </w:r>
      <w:r>
        <w:rPr>
          <w:rFonts w:hint="eastAsia" w:ascii="宋体" w:hAnsi="宋体" w:eastAsia="宋体" w:cs="宋体"/>
          <w:sz w:val="24"/>
          <w:szCs w:val="24"/>
          <w:lang w:val="en-US" w:eastAsia="zh-CN"/>
        </w:rPr>
        <w:t>802-3-2-2  ETC车道标准键盘、鼠标</w:t>
      </w:r>
      <w:bookmarkEnd w:id="3"/>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（1）部署于 ETC 车道设备机柜，用于 ETC 车道设备调试及维护。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（2）键盘采用标准键盘键序，配备标准 3 键鼠标。</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802-3-4-</w:t>
      </w:r>
      <w:r>
        <w:rPr>
          <w:rFonts w:hint="eastAsia" w:ascii="宋体" w:hAnsi="宋体" w:eastAsia="宋体" w:cs="宋体"/>
          <w:sz w:val="24"/>
          <w:szCs w:val="24"/>
          <w:lang w:val="en-US" w:eastAsia="zh-CN"/>
        </w:rPr>
        <w:t>1.普通混合车道一体化栏杆机</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一体化设计，集成车道控制器、高速栏杆机、费额显示器、车牌识别器、声光报警器等功能。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① 高速自动栏杆（普通车道）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高速自动栏杆机应符合 JT/T（428.1-428.2）的要求，栏杆臂下边缘距机箱底平面的高度在 650mm～950mm 之间；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快速启动和停止，由水平到竖直和由竖直到水平的运动时间均小于 0.6s；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使用寿命：≥3,000,000 往复次或≥10 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工作环境温度：-40℃～70℃，工作环境湿度：95%无冷凝；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带有防冲撞机构，可抗 5 级风力，栏杆臂外力脱开后能够复位；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电源：AC220～240V±15%，50～60Hz；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防护等级：IP65。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② 双开高速自动栏杆（超宽车道）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双开高速自动栏杆机应符合 JT/T（428.1-428.2）的要求，栏杆臂下边缘距机箱底平面的高度在 650mm～950mm 之间；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含超宽车道外侧副栏杆机、主副栏杆机通信电缆；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快速启动和停止，由水平到竖直和由竖直到水平的运动时间均小于 0.6s；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使用寿命：≥3,000,000 往复次或≥10 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工作环境温度：-40℃～70℃；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工作环境湿度：95%无冷凝；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带有防冲撞机构，可抗 5 级风力，栏杆臂外力脱开后能够复位；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电源：AC220～240V±15%，50～60Hz；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防护等级：IP65。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③ 费额显示器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应符合 GB/T 2787</w:t>
      </w:r>
      <w:r>
        <w:rPr>
          <w:rFonts w:hint="eastAsia" w:ascii="宋体" w:hAnsi="宋体" w:eastAsia="宋体" w:cs="宋体"/>
          <w:color w:val="000000"/>
          <w:kern w:val="0"/>
          <w:sz w:val="24"/>
          <w:szCs w:val="24"/>
          <w:lang w:val="en-US" w:eastAsia="zh-CN" w:bidi="ar"/>
        </w:rPr>
        <w:t>9.</w:t>
      </w:r>
      <w:r>
        <w:rPr>
          <w:rFonts w:hint="default" w:ascii="宋体" w:hAnsi="宋体" w:eastAsia="宋体" w:cs="宋体"/>
          <w:color w:val="000000"/>
          <w:kern w:val="0"/>
          <w:sz w:val="24"/>
          <w:szCs w:val="24"/>
          <w:lang w:val="en-US" w:eastAsia="zh-CN" w:bidi="ar"/>
        </w:rPr>
        <w:t xml:space="preserve">的要求；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显示亮度：≥1500cd/m2；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显示颜色：红色和绿色；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ETC专业车道：可显示 12 行 4 列汉字，内置 64×96 点阵 GB2312 一级汉字字库；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ETC/MTC混合车道：可显示 4 行 4 列汉字，内置 64×96 点阵 GB2312 一级汉字字库；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可视距离：＞20m；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工作环境温度：-30℃～80℃，工作环境湿度：0％～95％。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④ 高清车牌识别器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车牌自动识别设备应符合 JT/T 604 的要求，采用高清车牌识别一体机，能自动识别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“GA36-92”(92 式牌照)、“GA36.1-2001”（02 式牌照）标准民用车牌照、04 式军用、新武警、港澳式、新能源等各种格式汽车号牌；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全天候车牌识别正确率：≥98%；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识别速度＜0.2s；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支持视频、线圈触发等多种触发方式；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视频编码：H.264，H.265，图像编码：JPEG；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成像器件：≥1/3inch 逐行扫描 CMOS 或 CCD 图像传感器；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有效画面像素≥300 万；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具备 OSD 功能，视频能叠加时间、车牌、车道号等各种动态信息字符；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设备通讯接口：两个10/100M自适应以太网网口；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根据上位机接口提供对接动态库；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同时支持RTSP拉流；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MTBF：≥30,000h；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工作环境温度：-40℃～70℃，工作环境湿度：0-95%；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全天候室外型防护罩，防护等级：IP66；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⑤ 补光灯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应满足交通运输部《取消高速公路省界收费站总体技术方案》、《取消高速公路省界收费站工程建设方案》等规定；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满足全天侯不同的环境下进行车辆号牌、车身轮廓补光，无光污染，隐蔽性好，不影响司机夜间行车；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有效补光距离：4～8 米；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色温：6000-6500K；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发光角度：45°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防护等级：IP65；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重量：≤6Kg；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工作环境温度：-20℃～+55℃，湿度：＜95％，无凝结；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⑥ 车道控制器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以太网通讯接口，适应各种场合进行联网通讯；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光电隔离的输入和继电器输出接口；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工作寿命大于70000小时；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MTBF：大于10000 小时，MTTR：小于0.5小时；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4路控制输出，支持数字电压输出和开关信号输出；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6路检测输入，支持数字电压输入和开关信号输入；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所有 I/O 具备隔离功能，可为光耦隔离或继电器隔离，保护以减少雷电及高能浪涌的冲击；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⑦ 微波车辆防砸装置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集成在栏杆机侧壁，横向检测距离0-2米；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功率≤3W；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输出类型为继电器常闭，直接连通栏杆机防砸功能；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⑧ 栏杆机配备强制抬杆手动开关，且在打开开关后手动关闭前保持抬杆；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⑨ 具有声光报警器；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⑩ MTBF ：＞15000 小时，MTTF ：＜0.5 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⑪ 不锈钢机箱，IP65；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⑫ 含信号和电源防雷器。</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sz w:val="24"/>
          <w:szCs w:val="24"/>
          <w:lang w:val="en-US" w:eastAsia="zh-CN"/>
        </w:rPr>
      </w:pPr>
      <w:bookmarkStart w:id="4" w:name="_Toc13479"/>
      <w:r>
        <w:rPr>
          <w:rFonts w:hint="eastAsia" w:ascii="宋体" w:hAnsi="Arial Unicode MS" w:eastAsia="宋体" w:cs="宋体"/>
          <w:b/>
          <w:i w:val="0"/>
          <w:kern w:val="2"/>
          <w:sz w:val="24"/>
          <w:szCs w:val="24"/>
          <w:lang w:val="en-US" w:eastAsia="zh-CN" w:bidi="ar-SA"/>
        </w:rPr>
        <w:t xml:space="preserve">1.3.4.2 </w:t>
      </w:r>
      <w:r>
        <w:rPr>
          <w:rFonts w:hint="default" w:ascii="宋体" w:hAnsi="宋体" w:eastAsia="宋体" w:cs="宋体"/>
          <w:sz w:val="24"/>
          <w:szCs w:val="24"/>
          <w:lang w:val="en-US" w:eastAsia="zh-CN"/>
        </w:rPr>
        <w:t>802-3-4-2</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超宽混合车道一体化栏杆机</w:t>
      </w:r>
      <w:bookmarkEnd w:id="4"/>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超宽混合车道一体化栏杆机采用双开栏杆机模块，在超宽车道外侧配备副栏杆，副栏 杆由收费岛上的主栏杆通过车道预埋的信号电缆控制；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含车道预埋信号电缆及过路保护钢管；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其他指标同“</w:t>
      </w:r>
      <w:r>
        <w:rPr>
          <w:rFonts w:hint="default" w:ascii="宋体" w:hAnsi="宋体" w:eastAsia="宋体" w:cs="宋体"/>
          <w:color w:val="000000"/>
          <w:kern w:val="0"/>
          <w:sz w:val="24"/>
          <w:szCs w:val="24"/>
          <w:lang w:val="en-US" w:eastAsia="zh-CN" w:bidi="ar"/>
        </w:rPr>
        <w:t>802-3-4-</w:t>
      </w:r>
      <w:r>
        <w:rPr>
          <w:rFonts w:hint="eastAsia" w:ascii="宋体" w:hAnsi="宋体" w:eastAsia="宋体" w:cs="宋体"/>
          <w:color w:val="000000"/>
          <w:kern w:val="0"/>
          <w:sz w:val="24"/>
          <w:szCs w:val="24"/>
          <w:lang w:val="en-US" w:eastAsia="zh-CN" w:bidi="ar"/>
        </w:rPr>
        <w:t xml:space="preserve">1.普通混合车道一体化栏杆机”。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）功能要求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自动栏杆（杆长 </w:t>
      </w:r>
      <w:r>
        <w:rPr>
          <w:rFonts w:hint="default" w:ascii="宋体" w:hAnsi="宋体" w:eastAsia="宋体" w:cs="宋体"/>
          <w:color w:val="000000"/>
          <w:kern w:val="0"/>
          <w:sz w:val="24"/>
          <w:szCs w:val="24"/>
          <w:lang w:val="en-US" w:eastAsia="zh-CN" w:bidi="ar"/>
        </w:rPr>
        <w:t>3m</w:t>
      </w:r>
      <w:r>
        <w:rPr>
          <w:rFonts w:hint="eastAsia" w:ascii="宋体" w:hAnsi="宋体" w:eastAsia="宋体" w:cs="宋体"/>
          <w:color w:val="000000"/>
          <w:kern w:val="0"/>
          <w:sz w:val="24"/>
          <w:szCs w:val="24"/>
          <w:lang w:val="en-US" w:eastAsia="zh-CN" w:bidi="ar"/>
        </w:rPr>
        <w:t xml:space="preserve">）安装于 </w:t>
      </w:r>
      <w:r>
        <w:rPr>
          <w:rFonts w:hint="default" w:ascii="宋体" w:hAnsi="宋体" w:eastAsia="宋体" w:cs="宋体"/>
          <w:color w:val="000000"/>
          <w:kern w:val="0"/>
          <w:sz w:val="24"/>
          <w:szCs w:val="24"/>
          <w:lang w:val="en-US" w:eastAsia="zh-CN" w:bidi="ar"/>
        </w:rPr>
        <w:t xml:space="preserve">4.5m </w:t>
      </w:r>
      <w:r>
        <w:rPr>
          <w:rFonts w:hint="eastAsia" w:ascii="宋体" w:hAnsi="宋体" w:eastAsia="宋体" w:cs="宋体"/>
          <w:color w:val="000000"/>
          <w:kern w:val="0"/>
          <w:sz w:val="24"/>
          <w:szCs w:val="24"/>
          <w:lang w:val="en-US" w:eastAsia="zh-CN" w:bidi="ar"/>
        </w:rPr>
        <w:t xml:space="preserve">宽车道，与三合一栏杆形成同步起落的双开栏杆。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当栏杆处于竖直状态时，自动栏杆距收费车道边缘不小于 </w:t>
      </w:r>
      <w:r>
        <w:rPr>
          <w:rFonts w:hint="default" w:ascii="宋体" w:hAnsi="宋体" w:eastAsia="宋体" w:cs="宋体"/>
          <w:color w:val="000000"/>
          <w:kern w:val="0"/>
          <w:sz w:val="24"/>
          <w:szCs w:val="24"/>
          <w:lang w:val="en-US" w:eastAsia="zh-CN" w:bidi="ar"/>
        </w:rPr>
        <w:t>450mm</w:t>
      </w:r>
      <w:r>
        <w:rPr>
          <w:rFonts w:hint="eastAsia" w:ascii="宋体" w:hAnsi="宋体" w:eastAsia="宋体" w:cs="宋体"/>
          <w:color w:val="000000"/>
          <w:kern w:val="0"/>
          <w:sz w:val="24"/>
          <w:szCs w:val="24"/>
          <w:lang w:val="en-US" w:eastAsia="zh-CN" w:bidi="ar"/>
        </w:rPr>
        <w:t xml:space="preserve">，当自动栏杆在下落时，车辆检测器发现有车通过时，栏杆应能自动停止下落并抬起。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当车辆水平冲撞栏杆时，栏杆体与机箱连接部应有脱离装置，使栏杆体在车辆碰撞力作用下水平移开。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当自动栏杆机发生故障或断电时，栏杆应自动位移至竖直状态；并可根据需要，人工调节至水平状态。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采用步进电机技术，电机以平滑的减速过程停止，避免了由于高温造成的电机、齿轮润滑等故障。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采用高精度减速器进行控制，由软件控制栏杆的均匀减速和平稳停靠。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其他功能要求应符合 </w:t>
      </w:r>
      <w:r>
        <w:rPr>
          <w:rFonts w:hint="default" w:ascii="宋体" w:hAnsi="宋体" w:eastAsia="宋体" w:cs="宋体"/>
          <w:color w:val="000000"/>
          <w:kern w:val="0"/>
          <w:sz w:val="24"/>
          <w:szCs w:val="24"/>
          <w:lang w:val="en-US" w:eastAsia="zh-CN" w:bidi="ar"/>
        </w:rPr>
        <w:t>GB/T 24973-2010</w:t>
      </w:r>
      <w:r>
        <w:rPr>
          <w:rFonts w:hint="eastAsia" w:ascii="宋体" w:hAnsi="宋体" w:eastAsia="宋体" w:cs="宋体"/>
          <w:color w:val="000000"/>
          <w:kern w:val="0"/>
          <w:sz w:val="24"/>
          <w:szCs w:val="24"/>
          <w:lang w:val="en-US" w:eastAsia="zh-CN" w:bidi="ar"/>
        </w:rPr>
        <w:t xml:space="preserve">《收费用电动栏杆》。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）主要技术指标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栏杆杆长 </w:t>
      </w:r>
      <w:r>
        <w:rPr>
          <w:rFonts w:hint="default" w:ascii="宋体" w:hAnsi="宋体" w:eastAsia="宋体" w:cs="宋体"/>
          <w:color w:val="000000"/>
          <w:kern w:val="0"/>
          <w:sz w:val="24"/>
          <w:szCs w:val="24"/>
          <w:lang w:val="en-US" w:eastAsia="zh-CN" w:bidi="ar"/>
        </w:rPr>
        <w:t>3.0m</w:t>
      </w:r>
      <w:r>
        <w:rPr>
          <w:rFonts w:hint="eastAsia" w:ascii="宋体" w:hAnsi="宋体" w:eastAsia="宋体" w:cs="宋体"/>
          <w:color w:val="000000"/>
          <w:kern w:val="0"/>
          <w:sz w:val="24"/>
          <w:szCs w:val="24"/>
          <w:lang w:val="en-US" w:eastAsia="zh-CN" w:bidi="ar"/>
        </w:rPr>
        <w:t xml:space="preserve">，栏杆臂下边缘距车道地面的高度应在 </w:t>
      </w:r>
      <w:r>
        <w:rPr>
          <w:rFonts w:hint="default" w:ascii="宋体" w:hAnsi="宋体" w:eastAsia="宋体" w:cs="宋体"/>
          <w:color w:val="000000"/>
          <w:kern w:val="0"/>
          <w:sz w:val="24"/>
          <w:szCs w:val="24"/>
          <w:lang w:val="en-US" w:eastAsia="zh-CN" w:bidi="ar"/>
        </w:rPr>
        <w:t>650mm</w:t>
      </w: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950mm</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栏杆臂采用碳纤维管或轻型铝合金制作内芯，断面直径为 </w:t>
      </w:r>
      <w:r>
        <w:rPr>
          <w:rFonts w:hint="default" w:ascii="宋体" w:hAnsi="宋体" w:eastAsia="宋体" w:cs="宋体"/>
          <w:color w:val="000000"/>
          <w:kern w:val="0"/>
          <w:sz w:val="24"/>
          <w:szCs w:val="24"/>
          <w:lang w:val="en-US" w:eastAsia="zh-CN" w:bidi="ar"/>
        </w:rPr>
        <w:t>75mm</w:t>
      </w:r>
      <w:r>
        <w:rPr>
          <w:rFonts w:hint="eastAsia" w:ascii="宋体" w:hAnsi="宋体" w:eastAsia="宋体" w:cs="宋体"/>
          <w:color w:val="000000"/>
          <w:kern w:val="0"/>
          <w:sz w:val="24"/>
          <w:szCs w:val="24"/>
          <w:lang w:val="en-US" w:eastAsia="zh-CN" w:bidi="ar"/>
        </w:rPr>
        <w:t xml:space="preserve">，采用高强度铝合金材料铸造，外裹外层包裹高弹软性纤维，使用高强度粘合胶粘合，并贴有红白相间的Ⅲ类反光膜。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栏杆抬起时间≤</w:t>
      </w:r>
      <w:r>
        <w:rPr>
          <w:rFonts w:hint="default" w:ascii="宋体" w:hAnsi="宋体" w:eastAsia="宋体" w:cs="宋体"/>
          <w:color w:val="000000"/>
          <w:kern w:val="0"/>
          <w:sz w:val="24"/>
          <w:szCs w:val="24"/>
          <w:lang w:val="en-US" w:eastAsia="zh-CN" w:bidi="ar"/>
        </w:rPr>
        <w:t>0.6s</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w:t>
      </w:r>
      <w:r>
        <w:rPr>
          <w:rFonts w:hint="default" w:ascii="宋体" w:hAnsi="宋体" w:eastAsia="宋体" w:cs="宋体"/>
          <w:color w:val="000000"/>
          <w:kern w:val="0"/>
          <w:sz w:val="24"/>
          <w:szCs w:val="24"/>
          <w:lang w:val="en-US" w:eastAsia="zh-CN" w:bidi="ar"/>
        </w:rPr>
        <w:t>MTBF</w:t>
      </w: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 xml:space="preserve">100 </w:t>
      </w:r>
      <w:r>
        <w:rPr>
          <w:rFonts w:hint="eastAsia" w:ascii="宋体" w:hAnsi="宋体" w:eastAsia="宋体" w:cs="宋体"/>
          <w:color w:val="000000"/>
          <w:kern w:val="0"/>
          <w:sz w:val="24"/>
          <w:szCs w:val="24"/>
          <w:lang w:val="en-US" w:eastAsia="zh-CN" w:bidi="ar"/>
        </w:rPr>
        <w:t xml:space="preserve">万次或 </w:t>
      </w:r>
      <w:r>
        <w:rPr>
          <w:rFonts w:hint="default" w:ascii="宋体" w:hAnsi="宋体" w:eastAsia="宋体" w:cs="宋体"/>
          <w:color w:val="000000"/>
          <w:kern w:val="0"/>
          <w:sz w:val="24"/>
          <w:szCs w:val="24"/>
          <w:lang w:val="en-US" w:eastAsia="zh-CN" w:bidi="ar"/>
        </w:rPr>
        <w:t xml:space="preserve">50,000 </w:t>
      </w:r>
      <w:r>
        <w:rPr>
          <w:rFonts w:hint="eastAsia" w:ascii="宋体" w:hAnsi="宋体" w:eastAsia="宋体" w:cs="宋体"/>
          <w:color w:val="000000"/>
          <w:kern w:val="0"/>
          <w:sz w:val="24"/>
          <w:szCs w:val="24"/>
          <w:lang w:val="en-US" w:eastAsia="zh-CN" w:bidi="ar"/>
        </w:rPr>
        <w:t xml:space="preserve">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w:t>
      </w:r>
      <w:r>
        <w:rPr>
          <w:rFonts w:hint="default" w:ascii="宋体" w:hAnsi="宋体" w:eastAsia="宋体" w:cs="宋体"/>
          <w:color w:val="000000"/>
          <w:kern w:val="0"/>
          <w:sz w:val="24"/>
          <w:szCs w:val="24"/>
          <w:lang w:val="en-US" w:eastAsia="zh-CN" w:bidi="ar"/>
        </w:rPr>
        <w:t>MTTR</w:t>
      </w: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 xml:space="preserve">0.5 </w:t>
      </w:r>
      <w:r>
        <w:rPr>
          <w:rFonts w:hint="eastAsia" w:ascii="宋体" w:hAnsi="宋体" w:eastAsia="宋体" w:cs="宋体"/>
          <w:color w:val="000000"/>
          <w:kern w:val="0"/>
          <w:sz w:val="24"/>
          <w:szCs w:val="24"/>
          <w:lang w:val="en-US" w:eastAsia="zh-CN" w:bidi="ar"/>
        </w:rPr>
        <w:t xml:space="preserve">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使用寿命大于 </w:t>
      </w:r>
      <w:r>
        <w:rPr>
          <w:rFonts w:hint="default" w:ascii="宋体" w:hAnsi="宋体" w:eastAsia="宋体" w:cs="宋体"/>
          <w:color w:val="000000"/>
          <w:kern w:val="0"/>
          <w:sz w:val="24"/>
          <w:szCs w:val="24"/>
          <w:lang w:val="en-US" w:eastAsia="zh-CN" w:bidi="ar"/>
        </w:rPr>
        <w:t xml:space="preserve">10,000,000 </w:t>
      </w:r>
      <w:r>
        <w:rPr>
          <w:rFonts w:hint="eastAsia" w:ascii="宋体" w:hAnsi="宋体" w:eastAsia="宋体" w:cs="宋体"/>
          <w:color w:val="000000"/>
          <w:kern w:val="0"/>
          <w:sz w:val="24"/>
          <w:szCs w:val="24"/>
          <w:lang w:val="en-US" w:eastAsia="zh-CN" w:bidi="ar"/>
        </w:rPr>
        <w:t xml:space="preserve">起落次或十年。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机外壳防护等级不低于 </w:t>
      </w:r>
      <w:r>
        <w:rPr>
          <w:rFonts w:hint="default" w:ascii="宋体" w:hAnsi="宋体" w:eastAsia="宋体" w:cs="宋体"/>
          <w:color w:val="000000"/>
          <w:kern w:val="0"/>
          <w:sz w:val="24"/>
          <w:szCs w:val="24"/>
          <w:lang w:val="en-US" w:eastAsia="zh-CN" w:bidi="ar"/>
        </w:rPr>
        <w:t>IP65</w:t>
      </w:r>
      <w:r>
        <w:rPr>
          <w:rFonts w:hint="eastAsia" w:ascii="宋体" w:hAnsi="宋体" w:eastAsia="宋体" w:cs="宋体"/>
          <w:color w:val="000000"/>
          <w:kern w:val="0"/>
          <w:sz w:val="24"/>
          <w:szCs w:val="24"/>
          <w:lang w:val="en-US" w:eastAsia="zh-CN" w:bidi="ar"/>
        </w:rPr>
        <w:t xml:space="preserve">，机箱外壳防护等级不低于 </w:t>
      </w:r>
      <w:r>
        <w:rPr>
          <w:rFonts w:hint="default" w:ascii="宋体" w:hAnsi="宋体" w:eastAsia="宋体" w:cs="宋体"/>
          <w:color w:val="000000"/>
          <w:kern w:val="0"/>
          <w:sz w:val="24"/>
          <w:szCs w:val="24"/>
          <w:lang w:val="en-US" w:eastAsia="zh-CN" w:bidi="ar"/>
        </w:rPr>
        <w:t>IP65</w:t>
      </w:r>
      <w:r>
        <w:rPr>
          <w:rFonts w:hint="eastAsia" w:ascii="宋体" w:hAnsi="宋体" w:eastAsia="宋体" w:cs="宋体"/>
          <w:color w:val="000000"/>
          <w:kern w:val="0"/>
          <w:sz w:val="24"/>
          <w:szCs w:val="24"/>
          <w:lang w:val="en-US" w:eastAsia="zh-CN" w:bidi="ar"/>
        </w:rPr>
        <w:t>。</w:t>
      </w:r>
    </w:p>
    <w:p>
      <w:pPr>
        <w:pStyle w:val="5"/>
        <w:keepNext/>
        <w:keepLines/>
        <w:pageBreakBefore w:val="0"/>
        <w:widowControl w:val="0"/>
        <w:numPr>
          <w:ilvl w:val="3"/>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bookmarkStart w:id="5" w:name="_Toc10127"/>
      <w:r>
        <w:rPr>
          <w:rFonts w:hint="eastAsia" w:ascii="宋体" w:hAnsi="Arial Unicode MS" w:eastAsia="宋体" w:cs="宋体"/>
          <w:b/>
          <w:i w:val="0"/>
          <w:kern w:val="2"/>
          <w:sz w:val="24"/>
          <w:szCs w:val="24"/>
          <w:lang w:val="en-US" w:eastAsia="zh-CN" w:bidi="ar-SA"/>
        </w:rPr>
        <w:t xml:space="preserve">1.3.4.3 </w:t>
      </w:r>
      <w:r>
        <w:rPr>
          <w:rFonts w:hint="default" w:ascii="宋体" w:hAnsi="宋体" w:eastAsia="宋体" w:cs="宋体"/>
          <w:sz w:val="24"/>
          <w:szCs w:val="24"/>
          <w:lang w:val="en-US" w:eastAsia="zh-CN"/>
        </w:rPr>
        <w:t>802-3-4-3</w:t>
      </w:r>
      <w:r>
        <w:rPr>
          <w:rFonts w:hint="eastAsia" w:ascii="宋体" w:hAnsi="宋体" w:eastAsia="宋体" w:cs="宋体"/>
          <w:sz w:val="24"/>
          <w:szCs w:val="24"/>
          <w:lang w:val="en-US" w:eastAsia="zh-CN"/>
        </w:rPr>
        <w:t xml:space="preserve"> ETC车道一体化栏杆机</w:t>
      </w:r>
      <w:bookmarkEnd w:id="5"/>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（1）ETC车道一体化栏杆机配备 ETC 专业费额显示器，具体指标如下：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应符合 GB/T 27879.的要求；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显示亮度：≥1500cd/m2；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显示颜色：红色和绿色；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可显示 12 行 4 列汉字，内置 64×96 点阵 GB2312 一级汉字字库；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可视距离：＞20m；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工作环境温度：-30℃～80℃；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工作环境湿度：0％～95％。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（2）其他指标同“802-3-4-1.普通混合车道一体化栏杆机”。</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30"/>
          <w:szCs w:val="30"/>
          <w:lang w:val="en-US" w:eastAsia="zh-CN"/>
        </w:rPr>
      </w:pPr>
      <w:bookmarkStart w:id="6" w:name="_Toc21938"/>
      <w:bookmarkStart w:id="7" w:name="_Toc9088"/>
      <w:r>
        <w:rPr>
          <w:rFonts w:hint="eastAsia" w:ascii="宋体" w:hAnsi="Arial Unicode MS" w:eastAsia="宋体" w:cs="宋体"/>
          <w:b/>
          <w:i w:val="0"/>
          <w:kern w:val="2"/>
          <w:sz w:val="28"/>
          <w:szCs w:val="28"/>
          <w:lang w:val="en-US" w:eastAsia="zh-CN" w:bidi="ar-SA"/>
        </w:rPr>
        <w:t xml:space="preserve">1.3.5 </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val="en-US" w:eastAsia="zh-CN"/>
        </w:rPr>
        <w:t>802-3-5</w:t>
      </w:r>
      <w:r>
        <w:rPr>
          <w:rFonts w:hint="eastAsia" w:ascii="宋体" w:hAnsi="宋体" w:eastAsia="宋体" w:cs="宋体"/>
          <w:sz w:val="30"/>
          <w:szCs w:val="30"/>
          <w:lang w:val="en-US" w:eastAsia="zh-CN"/>
        </w:rPr>
        <w:t xml:space="preserve"> 手动栏杆</w:t>
      </w:r>
      <w:bookmarkEnd w:id="6"/>
      <w:bookmarkEnd w:id="7"/>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bookmarkStart w:id="8" w:name="_Toc11555"/>
      <w:r>
        <w:rPr>
          <w:rFonts w:hint="eastAsia" w:ascii="宋体" w:hAnsi="宋体" w:eastAsia="宋体" w:cs="宋体"/>
          <w:color w:val="000000"/>
          <w:kern w:val="0"/>
          <w:sz w:val="24"/>
          <w:szCs w:val="24"/>
          <w:lang w:val="en-US" w:eastAsia="zh-CN" w:bidi="ar"/>
        </w:rPr>
        <w:t>一、功能要求</w:t>
      </w:r>
      <w:bookmarkEnd w:id="8"/>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手动栏杆（杆长 </w:t>
      </w:r>
      <w:r>
        <w:rPr>
          <w:rFonts w:hint="default" w:ascii="宋体" w:hAnsi="宋体" w:eastAsia="宋体" w:cs="宋体"/>
          <w:color w:val="000000"/>
          <w:kern w:val="0"/>
          <w:sz w:val="24"/>
          <w:szCs w:val="24"/>
          <w:lang w:val="en-US" w:eastAsia="zh-CN" w:bidi="ar"/>
        </w:rPr>
        <w:t>3.5m</w:t>
      </w:r>
      <w:r>
        <w:rPr>
          <w:rFonts w:hint="eastAsia" w:ascii="宋体" w:hAnsi="宋体" w:eastAsia="宋体" w:cs="宋体"/>
          <w:color w:val="000000"/>
          <w:kern w:val="0"/>
          <w:sz w:val="24"/>
          <w:szCs w:val="24"/>
          <w:lang w:val="en-US" w:eastAsia="zh-CN" w:bidi="ar"/>
        </w:rPr>
        <w:t xml:space="preserve">，普通车道用）安装于 </w:t>
      </w:r>
      <w:r>
        <w:rPr>
          <w:rFonts w:hint="default" w:ascii="宋体" w:hAnsi="宋体" w:eastAsia="宋体" w:cs="宋体"/>
          <w:color w:val="000000"/>
          <w:kern w:val="0"/>
          <w:sz w:val="24"/>
          <w:szCs w:val="24"/>
          <w:lang w:val="en-US" w:eastAsia="zh-CN" w:bidi="ar"/>
        </w:rPr>
        <w:t xml:space="preserve">3.5m </w:t>
      </w:r>
      <w:r>
        <w:rPr>
          <w:rFonts w:hint="eastAsia" w:ascii="宋体" w:hAnsi="宋体" w:eastAsia="宋体" w:cs="宋体"/>
          <w:color w:val="000000"/>
          <w:kern w:val="0"/>
          <w:sz w:val="24"/>
          <w:szCs w:val="24"/>
          <w:lang w:val="en-US" w:eastAsia="zh-CN" w:bidi="ar"/>
        </w:rPr>
        <w:t xml:space="preserve">宽普通车道。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手动栏杆设置与收费岛岛头处，栏杆长度可根据所在车道宽度调节，最长应达到</w:t>
      </w:r>
      <w:r>
        <w:rPr>
          <w:rFonts w:hint="default" w:ascii="宋体" w:hAnsi="宋体" w:eastAsia="宋体" w:cs="宋体"/>
          <w:color w:val="000000"/>
          <w:kern w:val="0"/>
          <w:sz w:val="24"/>
          <w:szCs w:val="24"/>
          <w:lang w:val="en-US" w:eastAsia="zh-CN" w:bidi="ar"/>
        </w:rPr>
        <w:t>4.0m</w:t>
      </w:r>
      <w:r>
        <w:rPr>
          <w:rFonts w:hint="eastAsia" w:ascii="宋体" w:hAnsi="宋体" w:eastAsia="宋体" w:cs="宋体"/>
          <w:color w:val="000000"/>
          <w:kern w:val="0"/>
          <w:sz w:val="24"/>
          <w:szCs w:val="24"/>
          <w:lang w:val="en-US" w:eastAsia="zh-CN" w:bidi="ar"/>
        </w:rPr>
        <w:t xml:space="preserve">。栏杆下边缘距车道地面的安装高度在 </w:t>
      </w:r>
      <w:r>
        <w:rPr>
          <w:rFonts w:hint="default" w:ascii="宋体" w:hAnsi="宋体" w:eastAsia="宋体" w:cs="宋体"/>
          <w:color w:val="000000"/>
          <w:kern w:val="0"/>
          <w:sz w:val="24"/>
          <w:szCs w:val="24"/>
          <w:lang w:val="en-US" w:eastAsia="zh-CN" w:bidi="ar"/>
        </w:rPr>
        <w:t>750mm</w:t>
      </w:r>
      <w:r>
        <w:rPr>
          <w:rFonts w:hint="eastAsia" w:ascii="宋体" w:hAnsi="宋体" w:eastAsia="宋体" w:cs="宋体"/>
          <w:color w:val="000000"/>
          <w:kern w:val="0"/>
          <w:sz w:val="24"/>
          <w:szCs w:val="24"/>
          <w:lang w:val="en-US" w:eastAsia="zh-CN" w:bidi="ar"/>
        </w:rPr>
        <w:t>～</w:t>
      </w:r>
      <w:r>
        <w:rPr>
          <w:rFonts w:hint="default" w:ascii="宋体" w:hAnsi="宋体" w:eastAsia="宋体" w:cs="宋体"/>
          <w:color w:val="000000"/>
          <w:kern w:val="0"/>
          <w:sz w:val="24"/>
          <w:szCs w:val="24"/>
          <w:lang w:val="en-US" w:eastAsia="zh-CN" w:bidi="ar"/>
        </w:rPr>
        <w:t>1050mm</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栏杆表面应贴敷红白相间的Ⅲ类反光膜和挂一个“禁止驶入”标志，其公称直径为</w:t>
      </w:r>
      <w:r>
        <w:rPr>
          <w:rFonts w:hint="default" w:ascii="宋体" w:hAnsi="宋体" w:eastAsia="宋体" w:cs="宋体"/>
          <w:color w:val="000000"/>
          <w:kern w:val="0"/>
          <w:sz w:val="24"/>
          <w:szCs w:val="24"/>
          <w:lang w:val="en-US" w:eastAsia="zh-CN" w:bidi="ar"/>
        </w:rPr>
        <w:t>450mm</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其他功能要求应符合 </w:t>
      </w:r>
      <w:r>
        <w:rPr>
          <w:rFonts w:hint="default" w:ascii="宋体" w:hAnsi="宋体" w:eastAsia="宋体" w:cs="宋体"/>
          <w:color w:val="000000"/>
          <w:kern w:val="0"/>
          <w:sz w:val="24"/>
          <w:szCs w:val="24"/>
          <w:lang w:val="en-US" w:eastAsia="zh-CN" w:bidi="ar"/>
        </w:rPr>
        <w:t xml:space="preserve">GB/T 24974-2010 </w:t>
      </w:r>
      <w:r>
        <w:rPr>
          <w:rFonts w:hint="eastAsia" w:ascii="宋体" w:hAnsi="宋体" w:eastAsia="宋体" w:cs="宋体"/>
          <w:color w:val="000000"/>
          <w:kern w:val="0"/>
          <w:sz w:val="24"/>
          <w:szCs w:val="24"/>
          <w:lang w:val="en-US" w:eastAsia="zh-CN" w:bidi="ar"/>
        </w:rPr>
        <w:t xml:space="preserve">《收费用手动栏杆》。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bookmarkStart w:id="9" w:name="_Toc25988"/>
      <w:r>
        <w:rPr>
          <w:rFonts w:hint="eastAsia" w:ascii="宋体" w:hAnsi="宋体" w:eastAsia="宋体" w:cs="宋体"/>
          <w:color w:val="000000"/>
          <w:kern w:val="0"/>
          <w:sz w:val="24"/>
          <w:szCs w:val="24"/>
          <w:lang w:val="en-US" w:eastAsia="zh-CN" w:bidi="ar"/>
        </w:rPr>
        <w:t>二、主要技术指标</w:t>
      </w:r>
      <w:bookmarkEnd w:id="9"/>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栏杆、立柱等主要金属构件宜采用不锈钢制成，其它易腐蚀的金属构件应按相关国家标准作相应的防腐处理。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横杆与旋转轴连接应灵活、无卡滞现象。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横杆处于关闭位置时应保持水平。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各部件表面应光滑平整，无明显凹凸变形，边角过渡圆滑；金属构件防护层色泽均匀，无划、裂痕等损伤。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禁行标志采用 </w:t>
      </w:r>
      <w:r>
        <w:rPr>
          <w:rFonts w:hint="default" w:ascii="宋体" w:hAnsi="宋体" w:eastAsia="宋体" w:cs="宋体"/>
          <w:color w:val="000000"/>
          <w:kern w:val="0"/>
          <w:sz w:val="24"/>
          <w:szCs w:val="24"/>
          <w:lang w:val="en-US" w:eastAsia="zh-CN" w:bidi="ar"/>
        </w:rPr>
        <w:t xml:space="preserve">3004 </w:t>
      </w:r>
      <w:r>
        <w:rPr>
          <w:rFonts w:hint="eastAsia" w:ascii="宋体" w:hAnsi="宋体" w:eastAsia="宋体" w:cs="宋体"/>
          <w:color w:val="000000"/>
          <w:kern w:val="0"/>
          <w:sz w:val="24"/>
          <w:szCs w:val="24"/>
          <w:lang w:val="en-US" w:eastAsia="zh-CN" w:bidi="ar"/>
        </w:rPr>
        <w:t xml:space="preserve">铝板，标志板边缘进行卷边加固；为保证夜间标志板的反光效果，采用Ⅶ类反光膜，反光膜逆反射系数、色品坐标、耐候性能等必须满足 </w:t>
      </w:r>
      <w:r>
        <w:rPr>
          <w:rFonts w:hint="default" w:ascii="宋体" w:hAnsi="宋体" w:eastAsia="宋体" w:cs="宋体"/>
          <w:color w:val="000000"/>
          <w:kern w:val="0"/>
          <w:sz w:val="24"/>
          <w:szCs w:val="24"/>
          <w:lang w:val="en-US" w:eastAsia="zh-CN" w:bidi="ar"/>
        </w:rPr>
        <w:t>GB/T18833-2012</w:t>
      </w:r>
      <w:r>
        <w:rPr>
          <w:rFonts w:hint="eastAsia" w:ascii="宋体" w:hAnsi="宋体" w:eastAsia="宋体" w:cs="宋体"/>
          <w:color w:val="000000"/>
          <w:kern w:val="0"/>
          <w:sz w:val="24"/>
          <w:szCs w:val="24"/>
          <w:lang w:val="en-US" w:eastAsia="zh-CN" w:bidi="ar"/>
        </w:rPr>
        <w:t xml:space="preserve">《道路交通反光膜》的要求。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包含设备基础，参考招标图纸，可根据产品样式调整。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设备基础包括混凝土、钢筋、地脚螺栓、螺母、底法兰盘等。</w:t>
      </w:r>
    </w:p>
    <w:p>
      <w:pPr>
        <w:pStyle w:val="4"/>
        <w:keepNext/>
        <w:keepLines/>
        <w:pageBreakBefore w:val="0"/>
        <w:widowControl w:val="0"/>
        <w:numPr>
          <w:ilvl w:val="2"/>
          <w:numId w:val="0"/>
        </w:numPr>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sz w:val="30"/>
          <w:szCs w:val="30"/>
          <w:lang w:val="en-US" w:eastAsia="zh-CN"/>
        </w:rPr>
      </w:pPr>
      <w:bookmarkStart w:id="10" w:name="_Toc4980"/>
      <w:bookmarkStart w:id="11" w:name="_Toc23418"/>
      <w:r>
        <w:rPr>
          <w:rFonts w:hint="eastAsia" w:ascii="宋体" w:hAnsi="Arial Unicode MS" w:eastAsia="宋体" w:cs="宋体"/>
          <w:b/>
          <w:i w:val="0"/>
          <w:kern w:val="2"/>
          <w:sz w:val="28"/>
          <w:szCs w:val="28"/>
          <w:lang w:val="en-US" w:eastAsia="zh-CN" w:bidi="ar-SA"/>
        </w:rPr>
        <w:t xml:space="preserve">1.3.6 </w:t>
      </w:r>
      <w:r>
        <w:rPr>
          <w:rFonts w:hint="eastAsia" w:ascii="宋体" w:hAnsi="宋体" w:eastAsia="宋体" w:cs="宋体"/>
          <w:sz w:val="30"/>
          <w:szCs w:val="30"/>
          <w:lang w:val="en-US" w:eastAsia="zh-CN"/>
        </w:rPr>
        <w:t xml:space="preserve"> 802-3-6 票据打印机</w:t>
      </w:r>
      <w:bookmarkEnd w:id="10"/>
      <w:bookmarkEnd w:id="11"/>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接口类型：支持RS-232接口；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打印方式：串行击打式点阵打印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打印速度：不小于100字符/秒或4.2行/秒（每行字符数为26个），送纸速度不小于7.6cm/s，最大纸宽89mm。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以5×7的点阵格式打印阿拉伯数字、符号、汉字（可选），字符尺寸：1.725mm×1.97mm或2.45mm×2.94mm。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打印头寿命：≥2亿次击打。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 贮存温度范围：-15℃～+70℃ ，温度变化梯度20℃/小时。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工作温度：0℃～+50℃，工作湿度：10%～95%（20℃时），无冷凝</w:t>
      </w:r>
      <w:r>
        <w:rPr>
          <w:rFonts w:hint="eastAsia" w:ascii="宋体" w:hAnsi="宋体" w:eastAsia="宋体" w:cs="宋体"/>
          <w:color w:val="000000"/>
          <w:kern w:val="0"/>
          <w:sz w:val="24"/>
          <w:szCs w:val="24"/>
          <w:lang w:val="en-US" w:eastAsia="zh-CN" w:bidi="ar"/>
        </w:rPr>
        <w:t>。</w:t>
      </w:r>
    </w:p>
    <w:p>
      <w:pPr>
        <w:pStyle w:val="5"/>
        <w:keepNext/>
        <w:keepLines/>
        <w:pageBreakBefore w:val="0"/>
        <w:widowControl w:val="0"/>
        <w:numPr>
          <w:ilvl w:val="3"/>
          <w:numId w:val="5"/>
        </w:numPr>
        <w:tabs>
          <w:tab w:val="left" w:pos="0"/>
          <w:tab w:val="clear" w:pos="420"/>
        </w:tabs>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 xml:space="preserve">805-1-1-2 </w:t>
      </w:r>
      <w:r>
        <w:rPr>
          <w:rFonts w:hint="eastAsia" w:ascii="宋体" w:hAnsi="宋体" w:eastAsia="宋体" w:cs="宋体"/>
          <w:sz w:val="24"/>
          <w:szCs w:val="24"/>
          <w:lang w:val="en-US" w:eastAsia="zh-CN"/>
        </w:rPr>
        <w:t xml:space="preserve">车道工控机操作系统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车道工控机操作系统应预装在 ETC 收费车道工控机上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采用 Windows 10 专业版操作系统，符合国家相关部门要求。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应具有多任务处理能力，提供多级系统容错能力。 </w:t>
      </w:r>
    </w:p>
    <w:p>
      <w:pPr>
        <w:pStyle w:val="5"/>
        <w:keepNext/>
        <w:keepLines/>
        <w:pageBreakBefore w:val="0"/>
        <w:widowControl w:val="0"/>
        <w:numPr>
          <w:ilvl w:val="3"/>
          <w:numId w:val="5"/>
        </w:numPr>
        <w:tabs>
          <w:tab w:val="left" w:pos="0"/>
          <w:tab w:val="clear" w:pos="420"/>
        </w:tabs>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xml:space="preserve">805-1-1-3 </w:t>
      </w:r>
      <w:r>
        <w:rPr>
          <w:rFonts w:hint="eastAsia" w:ascii="宋体" w:hAnsi="宋体" w:eastAsia="宋体" w:cs="宋体"/>
          <w:sz w:val="24"/>
          <w:szCs w:val="24"/>
          <w:lang w:val="en-US" w:eastAsia="zh-CN"/>
        </w:rPr>
        <w:t xml:space="preserve">门架工控机操作系统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ETC 门架工控机操作系统应预装在 ETC 门架门架工控机上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采用 Windows 7 专业版操作系统，符合国家相关部门要求。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 应具有多任务处理能力，提供多级系统容错能力。 </w:t>
      </w:r>
    </w:p>
    <w:p>
      <w:pPr>
        <w:wordWrap w:val="0"/>
        <w:spacing w:line="360" w:lineRule="auto"/>
        <w:ind w:firstLine="562" w:firstLineChars="200"/>
        <w:jc w:val="center"/>
        <w:rPr>
          <w:rFonts w:hint="default"/>
          <w:b/>
          <w:bCs/>
          <w:sz w:val="28"/>
          <w:szCs w:val="28"/>
          <w:lang w:val="en-US" w:eastAsia="zh-CN"/>
        </w:rPr>
      </w:pPr>
    </w:p>
    <w:p>
      <w:pPr>
        <w:pStyle w:val="2"/>
        <w:rPr>
          <w:rFonts w:hint="default"/>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2"/>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25</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957638088</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12" w:name="_Toc332793891"/>
      <w:bookmarkStart w:id="13" w:name="_Toc332965960"/>
      <w:bookmarkStart w:id="14" w:name="_Toc332793818"/>
      <w:r>
        <w:rPr>
          <w:rFonts w:hint="default" w:ascii="Times New Roman" w:hAnsi="Times New Roman" w:eastAsia="宋体" w:cs="Times New Roman"/>
          <w:b/>
          <w:snapToGrid w:val="0"/>
          <w:kern w:val="0"/>
          <w:sz w:val="24"/>
          <w:szCs w:val="24"/>
        </w:rPr>
        <w:t>联系方式</w:t>
      </w:r>
      <w:bookmarkEnd w:id="12"/>
      <w:bookmarkEnd w:id="13"/>
      <w:bookmarkEnd w:id="14"/>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卢</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23</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7F" w:usb3="00000000" w:csb0="203F01FF" w:csb1="DFFF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BEAF0BD0"/>
    <w:multiLevelType w:val="multilevel"/>
    <w:tmpl w:val="BEAF0BD0"/>
    <w:lvl w:ilvl="0" w:tentative="0">
      <w:start w:val="4"/>
      <w:numFmt w:val="chineseCounting"/>
      <w:suff w:val="nothing"/>
      <w:lvlText w:val="第%1章 "/>
      <w:lvlJc w:val="left"/>
      <w:pPr>
        <w:tabs>
          <w:tab w:val="left" w:pos="0"/>
        </w:tabs>
        <w:ind w:left="425" w:hanging="425"/>
      </w:pPr>
      <w:rPr>
        <w:rFonts w:hint="eastAsia"/>
        <w:sz w:val="36"/>
        <w:szCs w:val="36"/>
      </w:rPr>
    </w:lvl>
    <w:lvl w:ilvl="1" w:tentative="0">
      <w:start w:val="1"/>
      <w:numFmt w:val="decimal"/>
      <w:isLgl/>
      <w:suff w:val="space"/>
      <w:lvlText w:val="%1.%2."/>
      <w:lvlJc w:val="left"/>
      <w:pPr>
        <w:tabs>
          <w:tab w:val="left" w:pos="420"/>
        </w:tabs>
        <w:ind w:left="567" w:hanging="567"/>
      </w:pPr>
      <w:rPr>
        <w:rFonts w:hint="eastAsia"/>
        <w:b/>
        <w:bCs/>
      </w:rPr>
    </w:lvl>
    <w:lvl w:ilvl="2" w:tentative="0">
      <w:start w:val="1"/>
      <w:numFmt w:val="decimal"/>
      <w:isLgl/>
      <w:suff w:val="space"/>
      <w:lvlText w:val="%1.%2.%3."/>
      <w:lvlJc w:val="left"/>
      <w:pPr>
        <w:tabs>
          <w:tab w:val="left" w:pos="420"/>
        </w:tabs>
        <w:ind w:left="709" w:hanging="709"/>
      </w:pPr>
      <w:rPr>
        <w:rFonts w:hint="eastAsia" w:ascii="宋体" w:hAnsi="宋体" w:eastAsia="宋体" w:cs="宋体"/>
        <w:sz w:val="30"/>
        <w:szCs w:val="30"/>
      </w:rPr>
    </w:lvl>
    <w:lvl w:ilvl="3" w:tentative="0">
      <w:start w:val="1"/>
      <w:numFmt w:val="decimal"/>
      <w:isLgl/>
      <w:suff w:val="space"/>
      <w:lvlText w:val="%1.%2.%3.%4."/>
      <w:lvlJc w:val="left"/>
      <w:pPr>
        <w:tabs>
          <w:tab w:val="left" w:pos="420"/>
        </w:tabs>
        <w:ind w:left="850" w:hanging="850"/>
      </w:pPr>
      <w:rPr>
        <w:rFonts w:hint="eastAsia" w:ascii="宋体" w:hAnsi="宋体" w:eastAsia="宋体" w:cs="宋体"/>
        <w:sz w:val="24"/>
        <w:szCs w:val="24"/>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2">
    <w:nsid w:val="CEC06D5F"/>
    <w:multiLevelType w:val="singleLevel"/>
    <w:tmpl w:val="CEC06D5F"/>
    <w:lvl w:ilvl="0" w:tentative="0">
      <w:start w:val="1"/>
      <w:numFmt w:val="decimal"/>
      <w:suff w:val="nothing"/>
      <w:lvlText w:val="（%1）"/>
      <w:lvlJc w:val="left"/>
    </w:lvl>
  </w:abstractNum>
  <w:abstractNum w:abstractNumId="3">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4">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90B634E"/>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5270AE"/>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7">
    <w:name w:val="Body Text Indent"/>
    <w:basedOn w:val="1"/>
    <w:qFormat/>
    <w:uiPriority w:val="0"/>
    <w:pPr>
      <w:spacing w:after="120"/>
      <w:ind w:left="420" w:leftChars="200"/>
    </w:pPr>
    <w:rPr>
      <w:lang w:val="zh-CN"/>
    </w:rPr>
  </w:style>
  <w:style w:type="paragraph" w:styleId="8">
    <w:name w:val="Plain Text"/>
    <w:basedOn w:val="1"/>
    <w:next w:val="1"/>
    <w:qFormat/>
    <w:uiPriority w:val="0"/>
    <w:rPr>
      <w:rFonts w:ascii="宋体" w:hAnsi="Courier New"/>
      <w:szCs w:val="20"/>
    </w:rPr>
  </w:style>
  <w:style w:type="paragraph" w:styleId="9">
    <w:name w:val="Balloon Text"/>
    <w:basedOn w:val="1"/>
    <w:link w:val="39"/>
    <w:qFormat/>
    <w:uiPriority w:val="0"/>
    <w:rPr>
      <w:sz w:val="18"/>
      <w:szCs w:val="18"/>
    </w:rPr>
  </w:style>
  <w:style w:type="paragraph" w:styleId="10">
    <w:name w:val="footer"/>
    <w:basedOn w:val="1"/>
    <w:link w:val="16"/>
    <w:qFormat/>
    <w:uiPriority w:val="0"/>
    <w:pPr>
      <w:tabs>
        <w:tab w:val="center" w:pos="4153"/>
        <w:tab w:val="right" w:pos="8306"/>
      </w:tabs>
      <w:snapToGrid w:val="0"/>
      <w:jc w:val="left"/>
    </w:pPr>
    <w:rPr>
      <w:sz w:val="18"/>
      <w:szCs w:val="18"/>
    </w:rPr>
  </w:style>
  <w:style w:type="paragraph" w:styleId="11">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qFormat/>
    <w:uiPriority w:val="0"/>
    <w:rPr>
      <w:kern w:val="2"/>
      <w:sz w:val="18"/>
      <w:szCs w:val="18"/>
    </w:rPr>
  </w:style>
  <w:style w:type="character" w:customStyle="1" w:styleId="16">
    <w:name w:val="页脚 Char"/>
    <w:basedOn w:val="14"/>
    <w:link w:val="10"/>
    <w:qFormat/>
    <w:uiPriority w:val="0"/>
    <w:rPr>
      <w:kern w:val="2"/>
      <w:sz w:val="18"/>
      <w:szCs w:val="18"/>
    </w:rPr>
  </w:style>
  <w:style w:type="character" w:customStyle="1" w:styleId="17">
    <w:name w:val="标题 2 Char"/>
    <w:basedOn w:val="14"/>
    <w:link w:val="3"/>
    <w:qFormat/>
    <w:uiPriority w:val="0"/>
    <w:rPr>
      <w:rFonts w:ascii="Book Antiqua" w:hAnsi="Book Antiqua" w:eastAsia="黑体" w:cs="Book Antiqua"/>
      <w:bCs/>
      <w:sz w:val="36"/>
      <w:szCs w:val="36"/>
      <w:lang w:eastAsia="en-US"/>
    </w:rPr>
  </w:style>
  <w:style w:type="character" w:customStyle="1" w:styleId="18">
    <w:name w:val="标题 3 Char"/>
    <w:basedOn w:val="14"/>
    <w:link w:val="4"/>
    <w:qFormat/>
    <w:uiPriority w:val="0"/>
    <w:rPr>
      <w:rFonts w:ascii="Book Antiqua" w:hAnsi="Book Antiqua" w:eastAsia="黑体" w:cs="宋体"/>
      <w:sz w:val="32"/>
      <w:szCs w:val="32"/>
    </w:rPr>
  </w:style>
  <w:style w:type="character" w:customStyle="1" w:styleId="19">
    <w:name w:val="标题 4 Char"/>
    <w:basedOn w:val="14"/>
    <w:link w:val="5"/>
    <w:qFormat/>
    <w:uiPriority w:val="0"/>
    <w:rPr>
      <w:rFonts w:ascii="Book Antiqua" w:hAnsi="Book Antiqua" w:eastAsia="黑体" w:cs="宋体"/>
      <w:sz w:val="28"/>
      <w:szCs w:val="28"/>
    </w:rPr>
  </w:style>
  <w:style w:type="character" w:customStyle="1" w:styleId="20">
    <w:name w:val="标题 5 Char"/>
    <w:basedOn w:val="14"/>
    <w:link w:val="6"/>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6"/>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417</Words>
  <Characters>478</Characters>
  <Lines>61</Lines>
  <Paragraphs>17</Paragraphs>
  <TotalTime>2</TotalTime>
  <ScaleCrop>false</ScaleCrop>
  <LinksUpToDate>false</LinksUpToDate>
  <CharactersWithSpaces>535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2023-11-23T01:45:25Z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