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三车道门架式可变情报板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508-47-1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三车道门架式可变情报板（含安装支架）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含鱼眼摄像头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124893.00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Times New Roman" w:hAnsi="Times New Roman" w:eastAsia="Times New Roman"/>
          <w:sz w:val="24"/>
          <w:szCs w:val="24"/>
        </w:rPr>
        <w:t>1</w:t>
      </w:r>
      <w:r>
        <w:rPr>
          <w:rFonts w:hint="eastAsia" w:ascii="瀹嬩綋" w:hAnsi="瀹嬩綋" w:eastAsia="瀹嬩綋"/>
          <w:sz w:val="24"/>
          <w:szCs w:val="24"/>
        </w:rPr>
        <w:t>、情报板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全点阵动态交通诱导屏采用全彩色</w:t>
      </w:r>
      <w:r>
        <w:rPr>
          <w:rFonts w:hint="eastAsia" w:ascii="Times New Roman" w:hAnsi="Times New Roman" w:eastAsia="Times New Roman"/>
          <w:sz w:val="24"/>
          <w:szCs w:val="24"/>
        </w:rPr>
        <w:t>LED</w:t>
      </w:r>
      <w:r>
        <w:rPr>
          <w:rFonts w:hint="eastAsia" w:ascii="瀹嬩綋" w:hAnsi="瀹嬩綋" w:eastAsia="瀹嬩綋"/>
          <w:sz w:val="24"/>
          <w:szCs w:val="24"/>
        </w:rPr>
        <w:t>。机箱采用冷轧钢板，外壳具备防腐、防尘特性，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安装在驾驶员视距内的设备机箱和安装立杆、支架等附件表面不能反光刺眼；机箱内需配置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电源分配连接、维护用电源插头和照明、机箱内走线支架以及现场维护和调试用的托架平台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等设施，设备机箱内还具备存放与该设备有关技术资料的空间。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诱导屏的设计及施工中需考虑设施的防雷及电源的稳定性等因素，采用合理有效的安全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接地措施，设备应具备良好的抗干扰和雷电浪涌防护特性，设备安全接地电阻不大于</w:t>
      </w:r>
      <w:r>
        <w:rPr>
          <w:rFonts w:hint="eastAsia" w:ascii="Times New Roman" w:hAnsi="Times New Roman" w:eastAsia="Times New Roman"/>
          <w:sz w:val="24"/>
          <w:szCs w:val="24"/>
        </w:rPr>
        <w:t>10Ω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诱导屏应处在可控状态下运行，能通过监控中心进行远程的控制操作，包括开关屏、亮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度调整、参数设置以及显示信息修改等；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能实时自动检测诱导屏的工作状态并上传到控制中心，发生故障时自动黑屏；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同时还需要满足下表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管参数要求：全色全点阵：有效显示面积不小于</w:t>
      </w:r>
      <w:r>
        <w:rPr>
          <w:rFonts w:hint="eastAsia" w:ascii="Times New Roman" w:hAnsi="Times New Roman" w:eastAsia="Times New Roman"/>
          <w:sz w:val="24"/>
          <w:szCs w:val="24"/>
        </w:rPr>
        <w:t>4m</w:t>
      </w:r>
      <w:r>
        <w:rPr>
          <w:rFonts w:hint="eastAsia" w:ascii="瀹嬩綋" w:hAnsi="瀹嬩綋" w:eastAsia="瀹嬩綋"/>
          <w:sz w:val="24"/>
          <w:szCs w:val="24"/>
        </w:rPr>
        <w:t>（宽）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Times New Roman"/>
          <w:sz w:val="24"/>
          <w:szCs w:val="24"/>
        </w:rPr>
        <w:t>m</w:t>
      </w:r>
      <w:r>
        <w:rPr>
          <w:rFonts w:hint="eastAsia" w:ascii="瀹嬩綋" w:hAnsi="瀹嬩綋" w:eastAsia="瀹嬩綋"/>
          <w:sz w:val="24"/>
          <w:szCs w:val="24"/>
        </w:rPr>
        <w:t>（高）；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像素点间距：</w:t>
      </w:r>
      <w:r>
        <w:rPr>
          <w:rFonts w:hint="eastAsia" w:ascii="Times New Roman" w:hAnsi="Times New Roman" w:eastAsia="Times New Roman"/>
          <w:sz w:val="24"/>
          <w:szCs w:val="24"/>
        </w:rPr>
        <w:t>10mm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诱导屏为全彩：每像素由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瀹嬩綋" w:hAnsi="瀹嬩綋" w:eastAsia="瀹嬩綋"/>
          <w:sz w:val="24"/>
          <w:szCs w:val="24"/>
        </w:rPr>
        <w:t>红、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瀹嬩綋" w:hAnsi="瀹嬩綋" w:eastAsia="瀹嬩綋"/>
          <w:sz w:val="24"/>
          <w:szCs w:val="24"/>
        </w:rPr>
        <w:t>绿、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瀹嬩綋" w:hAnsi="瀹嬩綋" w:eastAsia="瀹嬩綋"/>
          <w:sz w:val="24"/>
          <w:szCs w:val="24"/>
        </w:rPr>
        <w:t>蓝，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3 </w:t>
      </w:r>
      <w:r>
        <w:rPr>
          <w:rFonts w:hint="eastAsia" w:ascii="瀹嬩綋" w:hAnsi="瀹嬩綋" w:eastAsia="瀹嬩綋"/>
          <w:sz w:val="24"/>
          <w:szCs w:val="24"/>
        </w:rPr>
        <w:t>颗超高亮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芯片组成全彩像素；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发光灯产地：红、绿、蓝色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管采用原装晶元管芯（提供原装晶元管芯厂家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的出货证明、进口报关证明、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管厂家产品证明文件）；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发光管亮度指标：红色大于</w:t>
      </w:r>
      <w:r>
        <w:rPr>
          <w:rFonts w:hint="eastAsia" w:ascii="Times New Roman" w:hAnsi="Times New Roman" w:eastAsia="Times New Roman"/>
          <w:sz w:val="24"/>
          <w:szCs w:val="24"/>
        </w:rPr>
        <w:t>1000mcd</w:t>
      </w:r>
      <w:r>
        <w:rPr>
          <w:rFonts w:hint="eastAsia" w:ascii="瀹嬩綋" w:hAnsi="瀹嬩綋" w:eastAsia="瀹嬩綋"/>
          <w:sz w:val="24"/>
          <w:szCs w:val="24"/>
        </w:rPr>
        <w:t>，绿色大于</w:t>
      </w:r>
      <w:r>
        <w:rPr>
          <w:rFonts w:hint="eastAsia" w:ascii="Times New Roman" w:hAnsi="Times New Roman" w:eastAsia="Times New Roman"/>
          <w:sz w:val="24"/>
          <w:szCs w:val="24"/>
        </w:rPr>
        <w:t>2000mcd</w:t>
      </w:r>
      <w:r>
        <w:rPr>
          <w:rFonts w:hint="eastAsia" w:ascii="瀹嬩綋" w:hAnsi="瀹嬩綋" w:eastAsia="瀹嬩綋"/>
          <w:sz w:val="24"/>
          <w:szCs w:val="24"/>
        </w:rPr>
        <w:t>，蓝色大于</w:t>
      </w:r>
      <w:r>
        <w:rPr>
          <w:rFonts w:hint="eastAsia" w:ascii="Times New Roman" w:hAnsi="Times New Roman" w:eastAsia="Times New Roman"/>
          <w:sz w:val="24"/>
          <w:szCs w:val="24"/>
        </w:rPr>
        <w:t>300mcd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发光管波长指标：红色为</w:t>
      </w:r>
      <w:r>
        <w:rPr>
          <w:rFonts w:hint="eastAsia" w:ascii="Times New Roman" w:hAnsi="Times New Roman" w:eastAsia="Times New Roman"/>
          <w:sz w:val="24"/>
          <w:szCs w:val="24"/>
        </w:rPr>
        <w:t>620-630nm</w:t>
      </w:r>
      <w:r>
        <w:rPr>
          <w:rFonts w:hint="eastAsia" w:ascii="瀹嬩綋" w:hAnsi="瀹嬩綋" w:eastAsia="瀹嬩綋"/>
          <w:sz w:val="24"/>
          <w:szCs w:val="24"/>
        </w:rPr>
        <w:t>，绿色为</w:t>
      </w:r>
      <w:r>
        <w:rPr>
          <w:rFonts w:hint="eastAsia" w:ascii="Times New Roman" w:hAnsi="Times New Roman" w:eastAsia="Times New Roman"/>
          <w:sz w:val="24"/>
          <w:szCs w:val="24"/>
        </w:rPr>
        <w:t>520-530nm</w:t>
      </w:r>
      <w:r>
        <w:rPr>
          <w:rFonts w:hint="eastAsia" w:ascii="瀹嬩綋" w:hAnsi="瀹嬩綋" w:eastAsia="瀹嬩綋"/>
          <w:sz w:val="24"/>
          <w:szCs w:val="24"/>
        </w:rPr>
        <w:t>，蓝色为</w:t>
      </w:r>
      <w:r>
        <w:rPr>
          <w:rFonts w:hint="eastAsia" w:ascii="Times New Roman" w:hAnsi="Times New Roman" w:eastAsia="Times New Roman"/>
          <w:sz w:val="24"/>
          <w:szCs w:val="24"/>
        </w:rPr>
        <w:t>465-475nm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诱导屏白平衡亮度：大于</w:t>
      </w:r>
      <w:r>
        <w:rPr>
          <w:rFonts w:hint="eastAsia" w:ascii="Times New Roman" w:hAnsi="Times New Roman" w:eastAsia="Times New Roman"/>
          <w:sz w:val="24"/>
          <w:szCs w:val="24"/>
        </w:rPr>
        <w:t>10000CD/</w:t>
      </w:r>
      <w:r>
        <w:rPr>
          <w:rFonts w:hint="eastAsia" w:ascii="瀹嬩綋" w:hAnsi="瀹嬩綋" w:eastAsia="瀹嬩綋"/>
          <w:sz w:val="24"/>
          <w:szCs w:val="24"/>
        </w:rPr>
        <w:t>平方米；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屏体要求低功耗：正常使用中平均每平方米功耗小于</w:t>
      </w:r>
      <w:r>
        <w:rPr>
          <w:rFonts w:hint="eastAsia" w:ascii="Times New Roman" w:hAnsi="Times New Roman" w:eastAsia="Times New Roman"/>
          <w:sz w:val="24"/>
          <w:szCs w:val="24"/>
        </w:rPr>
        <w:t>100W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情报板重量小于</w:t>
      </w:r>
      <w:r>
        <w:rPr>
          <w:rFonts w:hint="eastAsia" w:ascii="Times New Roman" w:hAnsi="Times New Roman" w:eastAsia="Times New Roman"/>
          <w:sz w:val="24"/>
          <w:szCs w:val="24"/>
        </w:rPr>
        <w:t>50kg/m</w:t>
      </w:r>
      <w:r>
        <w:rPr>
          <w:rFonts w:hint="eastAsia" w:ascii="Times New Roman" w:hAnsi="Times New Roman" w:eastAsia="Times New Roman"/>
          <w:sz w:val="16"/>
          <w:szCs w:val="24"/>
        </w:rPr>
        <w:t>2</w:t>
      </w:r>
      <w:r>
        <w:rPr>
          <w:rFonts w:hint="eastAsia" w:ascii="瀹嬩綋" w:hAnsi="瀹嬩綋" w:eastAsia="瀹嬩綋"/>
          <w:sz w:val="24"/>
          <w:szCs w:val="24"/>
        </w:rPr>
        <w:t>。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控制方式：同步；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诱导屏箱体箱体材料为优质镀锌钢板折弯而成，采用特殊防腐处理，有较强的耐盐雾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抗腐蚀性</w:t>
      </w:r>
      <w:r>
        <w:rPr>
          <w:rFonts w:hint="eastAsia" w:ascii="Times New Roman" w:hAnsi="Times New Roman" w:eastAsia="Times New Roman"/>
          <w:sz w:val="24"/>
          <w:szCs w:val="24"/>
        </w:rPr>
        <w:t>,</w:t>
      </w:r>
      <w:r>
        <w:rPr>
          <w:rFonts w:hint="eastAsia" w:ascii="瀹嬩綋" w:hAnsi="瀹嬩綋" w:eastAsia="瀹嬩綋"/>
          <w:sz w:val="24"/>
          <w:szCs w:val="24"/>
        </w:rPr>
        <w:t>具备良好的通风散热和防尘功能。显示屏箱体等产品构件应安装牢固、结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构稳定、边角过渡圆滑，无飞边、无毛刺，出线管与箱体连接密封良好，各箱体之间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的连线应不外露。箱体及连接件防护罩色泽均匀，安装完成后应无划伤裂痕。外机箱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表面用喷塑处理，喷塑后颜色为亚光灰色，不反光，防眩光；</w:t>
      </w:r>
    </w:p>
    <w:p>
      <w:pPr>
        <w:wordWrap w:val="0"/>
        <w:spacing w:line="360" w:lineRule="auto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 xml:space="preserve">显示像素密度 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10000 </w:t>
      </w:r>
      <w:r>
        <w:rPr>
          <w:rFonts w:hint="eastAsia" w:ascii="瀹嬩綋" w:hAnsi="瀹嬩綋" w:eastAsia="瀹嬩綋"/>
          <w:sz w:val="24"/>
          <w:szCs w:val="24"/>
        </w:rPr>
        <w:t>点</w:t>
      </w:r>
      <w:r>
        <w:rPr>
          <w:rFonts w:hint="eastAsia" w:ascii="Times New Roman" w:hAnsi="Times New Roman" w:eastAsia="Times New Roman"/>
          <w:sz w:val="24"/>
          <w:szCs w:val="24"/>
        </w:rPr>
        <w:t>/</w:t>
      </w:r>
      <w:r>
        <w:rPr>
          <w:rFonts w:hint="eastAsia" w:ascii="瀹嬩綋" w:hAnsi="瀹嬩綋" w:eastAsia="瀹嬩綋"/>
          <w:sz w:val="24"/>
          <w:szCs w:val="24"/>
        </w:rPr>
        <w:t>㎡；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 xml:space="preserve">诱导屏视角 </w:t>
      </w:r>
      <w:r>
        <w:rPr>
          <w:rFonts w:hint="eastAsia" w:ascii="Times New Roman" w:hAnsi="Times New Roman" w:eastAsia="Times New Roman"/>
          <w:sz w:val="24"/>
          <w:szCs w:val="24"/>
        </w:rPr>
        <w:t>&gt;140?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诱导屏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LED </w:t>
      </w:r>
      <w:r>
        <w:rPr>
          <w:rFonts w:hint="eastAsia" w:ascii="瀹嬩綋" w:hAnsi="瀹嬩綋" w:eastAsia="瀹嬩綋"/>
          <w:sz w:val="24"/>
          <w:szCs w:val="24"/>
        </w:rPr>
        <w:t>驱动方式恒定电流驱动方式；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 xml:space="preserve">诱导屏灰度等级 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4096 </w:t>
      </w:r>
      <w:r>
        <w:rPr>
          <w:rFonts w:hint="eastAsia" w:ascii="瀹嬩綋" w:hAnsi="瀹嬩綋" w:eastAsia="瀹嬩綋"/>
          <w:sz w:val="24"/>
          <w:szCs w:val="24"/>
        </w:rPr>
        <w:t>级灰度；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对比度增强对显示画面进行数字处理，保证画面有较高的清晰度；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主控部分显示屏采用工业控制计算机嵌入式控制系统，由中心控制室通过远程联网来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控制显示屏正常工作，显示屏可以独立工作；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诱导屏采用自动调光控制系统诱导屏采用自动调光控制系统，用来控制显示屏整体的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发光强度，可有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32 </w:t>
      </w:r>
      <w:r>
        <w:rPr>
          <w:rFonts w:hint="eastAsia" w:ascii="瀹嬩綋" w:hAnsi="瀹嬩綋" w:eastAsia="瀹嬩綋"/>
          <w:sz w:val="24"/>
          <w:szCs w:val="24"/>
        </w:rPr>
        <w:t>个亮度等级可以控制，人性化设计可以大大减轻晚上诱导屏由于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亮度过大，使驾驶员产生的眩目感觉；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通讯方式采用网络通讯方式；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换帧速度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≥120 </w:t>
      </w:r>
      <w:r>
        <w:rPr>
          <w:rFonts w:hint="eastAsia" w:ascii="瀹嬩綋" w:hAnsi="瀹嬩綋" w:eastAsia="瀹嬩綋"/>
          <w:sz w:val="24"/>
          <w:szCs w:val="24"/>
        </w:rPr>
        <w:t>帧</w:t>
      </w:r>
      <w:r>
        <w:rPr>
          <w:rFonts w:hint="eastAsia" w:ascii="Times New Roman" w:hAnsi="Times New Roman" w:eastAsia="Times New Roman"/>
          <w:sz w:val="24"/>
          <w:szCs w:val="24"/>
        </w:rPr>
        <w:t>/</w:t>
      </w:r>
      <w:r>
        <w:rPr>
          <w:rFonts w:hint="eastAsia" w:ascii="瀹嬩綋" w:hAnsi="瀹嬩綋" w:eastAsia="瀹嬩綋"/>
          <w:sz w:val="24"/>
          <w:szCs w:val="24"/>
        </w:rPr>
        <w:t>秒；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显示屏运行状态全天候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24 </w:t>
      </w:r>
      <w:r>
        <w:rPr>
          <w:rFonts w:hint="eastAsia" w:ascii="瀹嬩綋" w:hAnsi="瀹嬩綋" w:eastAsia="瀹嬩綋"/>
          <w:sz w:val="24"/>
          <w:szCs w:val="24"/>
        </w:rPr>
        <w:t>小时连续运行；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抗干扰符合</w:t>
      </w:r>
      <w:r>
        <w:rPr>
          <w:rFonts w:hint="eastAsia" w:ascii="Times New Roman" w:hAnsi="Times New Roman" w:eastAsia="Times New Roman"/>
          <w:sz w:val="24"/>
          <w:szCs w:val="24"/>
        </w:rPr>
        <w:t>IEC</w:t>
      </w:r>
      <w:r>
        <w:rPr>
          <w:rFonts w:hint="eastAsia" w:ascii="瀹嬩綋" w:hAnsi="瀹嬩綋" w:eastAsia="瀹嬩綋"/>
          <w:sz w:val="24"/>
          <w:szCs w:val="24"/>
        </w:rPr>
        <w:t>－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801 </w:t>
      </w:r>
      <w:r>
        <w:rPr>
          <w:rFonts w:hint="eastAsia" w:ascii="瀹嬩綋" w:hAnsi="瀹嬩綋" w:eastAsia="瀹嬩綋"/>
          <w:sz w:val="24"/>
          <w:szCs w:val="24"/>
        </w:rPr>
        <w:t>二级；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 xml:space="preserve">防护等级 </w:t>
      </w:r>
      <w:r>
        <w:rPr>
          <w:rFonts w:hint="eastAsia" w:ascii="Times New Roman" w:hAnsi="Times New Roman" w:eastAsia="Times New Roman"/>
          <w:sz w:val="24"/>
          <w:szCs w:val="24"/>
        </w:rPr>
        <w:t>IP65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防雷系统要求显示屏体有良好的防雷接地，接地电阻小于</w:t>
      </w:r>
      <w:r>
        <w:rPr>
          <w:rFonts w:hint="eastAsia" w:ascii="Times New Roman" w:hAnsi="Times New Roman" w:eastAsia="Times New Roman"/>
          <w:sz w:val="24"/>
          <w:szCs w:val="24"/>
        </w:rPr>
        <w:t>4Ω</w:t>
      </w:r>
      <w:r>
        <w:rPr>
          <w:rFonts w:hint="eastAsia" w:ascii="瀹嬩綋" w:hAnsi="瀹嬩綋" w:eastAsia="瀹嬩綋"/>
          <w:sz w:val="24"/>
          <w:szCs w:val="24"/>
        </w:rPr>
        <w:t>，可安全地将直接雷导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人大地。此外，对电源进线和信号进线采取单独的防雷措施，对感应雷进行防护；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显示屏的失控点小于万分之三；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安装方式结构所用材料、连接方式、基础尺寸等均经过强度力学计算，能承受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48m/s </w:t>
      </w:r>
      <w:r>
        <w:rPr>
          <w:rFonts w:hint="eastAsia" w:ascii="瀹嬩綋" w:hAnsi="瀹嬩綋" w:eastAsia="瀹嬩綋"/>
          <w:sz w:val="24"/>
          <w:szCs w:val="24"/>
        </w:rPr>
        <w:t>以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上的风载荷，确保屏体安全、稳定、可靠；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显示屏安装要求显示屏表面平整度：小于</w:t>
      </w:r>
      <w:r>
        <w:rPr>
          <w:rFonts w:hint="eastAsia" w:ascii="Times New Roman" w:hAnsi="Times New Roman" w:eastAsia="Times New Roman"/>
          <w:sz w:val="24"/>
          <w:szCs w:val="24"/>
        </w:rPr>
        <w:t>1mm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显示屏控制部分元器件产地同步显示，控制部分芯片采用国内外知名品牌产品；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配套鱼眼摄像机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传感器类型：逐行扫描</w:t>
      </w:r>
      <w:r>
        <w:rPr>
          <w:rFonts w:hint="eastAsia" w:ascii="Times New Roman" w:hAnsi="Times New Roman" w:eastAsia="Times New Roman"/>
          <w:sz w:val="24"/>
          <w:szCs w:val="24"/>
        </w:rPr>
        <w:t>CMOS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最小照度：</w:t>
      </w:r>
      <w:r>
        <w:rPr>
          <w:rFonts w:hint="eastAsia" w:ascii="Times New Roman" w:hAnsi="Times New Roman" w:eastAsia="Times New Roman"/>
          <w:sz w:val="24"/>
          <w:szCs w:val="24"/>
        </w:rPr>
        <w:t>0.1Lux@(F1.2,AGC ON)</w:t>
      </w:r>
      <w:r>
        <w:rPr>
          <w:rFonts w:hint="eastAsia" w:ascii="瀹嬩綋" w:hAnsi="瀹嬩綋" w:eastAsia="瀹嬩綋"/>
          <w:sz w:val="24"/>
          <w:szCs w:val="24"/>
        </w:rPr>
        <w:t>；</w:t>
      </w:r>
      <w:r>
        <w:rPr>
          <w:rFonts w:hint="eastAsia" w:ascii="Times New Roman" w:hAnsi="Times New Roman" w:eastAsia="Times New Roman"/>
          <w:sz w:val="24"/>
          <w:szCs w:val="24"/>
        </w:rPr>
        <w:t>0.28Lux@(F2.0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AGC ON)</w:t>
      </w:r>
      <w:r>
        <w:rPr>
          <w:rFonts w:hint="eastAsia" w:ascii="瀹嬩綋" w:hAnsi="瀹嬩綋" w:eastAsia="瀹嬩綋"/>
          <w:sz w:val="24"/>
          <w:szCs w:val="24"/>
        </w:rPr>
        <w:t>；</w:t>
      </w:r>
      <w:r>
        <w:rPr>
          <w:rFonts w:hint="eastAsia" w:ascii="Times New Roman" w:hAnsi="Times New Roman" w:eastAsia="Times New Roman"/>
          <w:sz w:val="24"/>
          <w:szCs w:val="24"/>
        </w:rPr>
        <w:t>0lux with IR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快门：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1/25 </w:t>
      </w:r>
      <w:r>
        <w:rPr>
          <w:rFonts w:hint="eastAsia" w:ascii="瀹嬩綋" w:hAnsi="瀹嬩綋" w:eastAsia="瀹嬩綋"/>
          <w:sz w:val="24"/>
          <w:szCs w:val="24"/>
        </w:rPr>
        <w:t>秒至</w:t>
      </w:r>
      <w:r>
        <w:rPr>
          <w:rFonts w:hint="eastAsia" w:ascii="Times New Roman" w:hAnsi="Times New Roman" w:eastAsia="Times New Roman"/>
          <w:sz w:val="24"/>
          <w:szCs w:val="24"/>
        </w:rPr>
        <w:t>1/100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000 </w:t>
      </w:r>
      <w:r>
        <w:rPr>
          <w:rFonts w:hint="eastAsia" w:ascii="瀹嬩綋" w:hAnsi="瀹嬩綋" w:eastAsia="瀹嬩綋"/>
          <w:sz w:val="24"/>
          <w:szCs w:val="24"/>
        </w:rPr>
        <w:t>秒；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视频压缩标准：</w:t>
      </w:r>
      <w:r>
        <w:rPr>
          <w:rFonts w:hint="eastAsia" w:ascii="Times New Roman" w:hAnsi="Times New Roman" w:eastAsia="Times New Roman"/>
          <w:sz w:val="24"/>
          <w:szCs w:val="24"/>
        </w:rPr>
        <w:t>H.264/MJPEG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压缩输出码率：</w:t>
      </w:r>
      <w:r>
        <w:rPr>
          <w:rFonts w:hint="eastAsia" w:ascii="Times New Roman" w:hAnsi="Times New Roman" w:eastAsia="Times New Roman"/>
          <w:sz w:val="24"/>
          <w:szCs w:val="24"/>
        </w:rPr>
        <w:t>32Kbps~16Mbps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 xml:space="preserve">最大图像尺寸 </w:t>
      </w:r>
      <w:r>
        <w:rPr>
          <w:rFonts w:hint="eastAsia" w:ascii="Times New Roman" w:hAnsi="Times New Roman" w:eastAsia="Times New Roman"/>
          <w:sz w:val="24"/>
          <w:szCs w:val="24"/>
        </w:rPr>
        <w:t>2048?536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日夜转换方式：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ICR </w:t>
      </w:r>
      <w:r>
        <w:rPr>
          <w:rFonts w:hint="eastAsia" w:ascii="瀹嬩綋" w:hAnsi="瀹嬩綋" w:eastAsia="瀹嬩綋"/>
          <w:sz w:val="24"/>
          <w:szCs w:val="24"/>
        </w:rPr>
        <w:t>红外滤片式，自动</w:t>
      </w:r>
      <w:r>
        <w:rPr>
          <w:rFonts w:hint="eastAsia" w:ascii="Times New Roman" w:hAnsi="Times New Roman" w:eastAsia="Times New Roman"/>
          <w:sz w:val="24"/>
          <w:szCs w:val="24"/>
        </w:rPr>
        <w:t>,</w:t>
      </w:r>
      <w:r>
        <w:rPr>
          <w:rFonts w:hint="eastAsia" w:ascii="瀹嬩綋" w:hAnsi="瀹嬩綋" w:eastAsia="瀹嬩綋"/>
          <w:sz w:val="24"/>
          <w:szCs w:val="24"/>
        </w:rPr>
        <w:t>定时</w:t>
      </w:r>
      <w:r>
        <w:rPr>
          <w:rFonts w:hint="eastAsia" w:ascii="Times New Roman" w:hAnsi="Times New Roman" w:eastAsia="Times New Roman"/>
          <w:sz w:val="24"/>
          <w:szCs w:val="24"/>
        </w:rPr>
        <w:t>,</w:t>
      </w:r>
      <w:r>
        <w:rPr>
          <w:rFonts w:hint="eastAsia" w:ascii="瀹嬩綋" w:hAnsi="瀹嬩綋" w:eastAsia="瀹嬩綋"/>
          <w:sz w:val="24"/>
          <w:szCs w:val="24"/>
        </w:rPr>
        <w:t>报警触发；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支持协议：</w:t>
      </w:r>
      <w:r>
        <w:rPr>
          <w:rFonts w:hint="eastAsia" w:ascii="Times New Roman" w:hAnsi="Times New Roman" w:eastAsia="Times New Roman"/>
          <w:sz w:val="24"/>
          <w:szCs w:val="24"/>
        </w:rPr>
        <w:t>TCP/IP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ICMP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HTTP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HTTPS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FTP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DHCP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DNS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DDNS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RTP</w:t>
      </w:r>
      <w:r>
        <w:rPr>
          <w:rFonts w:hint="eastAsia" w:ascii="瀹嬩綋" w:hAnsi="瀹嬩綋" w:eastAsia="瀹嬩綋"/>
          <w:sz w:val="24"/>
          <w:szCs w:val="24"/>
        </w:rPr>
        <w:t>，</w:t>
      </w:r>
      <w:r>
        <w:rPr>
          <w:rFonts w:hint="eastAsia" w:ascii="Times New Roman" w:hAnsi="Times New Roman" w:eastAsia="Times New Roman"/>
          <w:sz w:val="24"/>
          <w:szCs w:val="24"/>
        </w:rPr>
        <w:t>RTSP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通讯接口：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1 </w:t>
      </w:r>
      <w:r>
        <w:rPr>
          <w:rFonts w:hint="eastAsia" w:ascii="瀹嬩綋" w:hAnsi="瀹嬩綋" w:eastAsia="瀹嬩綋"/>
          <w:sz w:val="24"/>
          <w:szCs w:val="24"/>
        </w:rPr>
        <w:t>个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RJ45 10M/100M </w:t>
      </w:r>
      <w:r>
        <w:rPr>
          <w:rFonts w:hint="eastAsia" w:ascii="瀹嬩綋" w:hAnsi="瀹嬩綋" w:eastAsia="瀹嬩綋"/>
          <w:sz w:val="24"/>
          <w:szCs w:val="24"/>
        </w:rPr>
        <w:t>自适应以太网口；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功耗：</w:t>
      </w:r>
      <w:r>
        <w:rPr>
          <w:rFonts w:hint="eastAsia" w:ascii="Times New Roman" w:hAnsi="Times New Roman" w:eastAsia="Times New Roman"/>
          <w:sz w:val="24"/>
          <w:szCs w:val="24"/>
        </w:rPr>
        <w:t>12W MAX</w:t>
      </w:r>
      <w:r>
        <w:rPr>
          <w:rFonts w:hint="eastAsia" w:ascii="瀹嬩綋" w:hAnsi="瀹嬩綋" w:eastAsia="瀹嬩綋"/>
          <w:sz w:val="24"/>
          <w:szCs w:val="24"/>
        </w:rPr>
        <w:t>；</w:t>
      </w:r>
    </w:p>
    <w:p>
      <w:pPr>
        <w:wordWrap w:val="0"/>
        <w:spacing w:line="360" w:lineRule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Wingdings" w:hAnsi="Wingdings" w:eastAsia="Wingdings"/>
          <w:sz w:val="24"/>
          <w:szCs w:val="24"/>
        </w:rPr>
        <w:t xml:space="preserve"> </w:t>
      </w:r>
      <w:r>
        <w:rPr>
          <w:rFonts w:hint="eastAsia" w:ascii="瀹嬩綋" w:hAnsi="瀹嬩綋" w:eastAsia="瀹嬩綋"/>
          <w:sz w:val="24"/>
          <w:szCs w:val="24"/>
        </w:rPr>
        <w:t>防护等级：</w:t>
      </w:r>
      <w:r>
        <w:rPr>
          <w:rFonts w:hint="eastAsia" w:ascii="Times New Roman" w:hAnsi="Times New Roman" w:eastAsia="Times New Roman"/>
          <w:sz w:val="24"/>
          <w:szCs w:val="24"/>
        </w:rPr>
        <w:t>IP66</w:t>
      </w:r>
      <w:r>
        <w:rPr>
          <w:rFonts w:hint="eastAsia" w:ascii="瀹嬩綋" w:hAnsi="瀹嬩綋" w:eastAsia="瀹嬩綋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C37AFB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446441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2023-10-27T06:20:44Z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