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广州交投集团营运道路2023-2026年度机电养护综合管养项目-广州至河源高速公路 (广州段)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、广州增城沙庄至花都北兴公路二期工程(荔城至花都北兴段)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4U机柜配电箱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广州交投集团营运道路2023-2026年度机电养护综合管养项目-广州至河源高速公路 (广州段)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、广州增城沙庄至花都北兴公路二期工程(荔城至花都北兴段)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612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4U机柜配电箱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4U机柜配电箱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9200.00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eastAsia="宋体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技术</w:t>
      </w:r>
      <w:r>
        <w:rPr>
          <w:rFonts w:hint="eastAsia" w:cs="Times New Roman"/>
          <w:b/>
          <w:snapToGrid w:val="0"/>
          <w:kern w:val="0"/>
          <w:sz w:val="24"/>
          <w:szCs w:val="24"/>
          <w:lang w:eastAsia="zh-CN"/>
        </w:rPr>
        <w:t>规范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cs="Times New Roman"/>
          <w:sz w:val="21"/>
          <w:szCs w:val="21"/>
          <w:lang w:val="en-US" w:eastAsia="zh-CN"/>
        </w:rPr>
        <w:t>4U机柜配电箱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适用19英寸标准机柜，可安装16个以上1P空开，带地排、零排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1264EB8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5055FE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2</TotalTime>
  <ScaleCrop>false</ScaleCrop>
  <LinksUpToDate>false</LinksUpToDate>
  <CharactersWithSpaces>627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2023-09-19T07:17:33Z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