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白坭河大桥监测系统维护服务询价意向征集公告</w:t>
      </w:r>
    </w:p>
    <w:p>
      <w:pPr>
        <w:numPr>
          <w:ilvl w:val="0"/>
          <w:numId w:val="1"/>
        </w:numPr>
        <w:topLinePunct/>
        <w:spacing w:line="360" w:lineRule="auto"/>
        <w:outlineLvl w:val="1"/>
        <w:rPr>
          <w:rFonts w:hint="eastAsia"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rPr>
        <w:t>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rPr>
        <w:t>概况</w:t>
      </w:r>
    </w:p>
    <w:p>
      <w:pPr>
        <w:wordWrap w:val="0"/>
        <w:topLinePunct/>
        <w:spacing w:line="360" w:lineRule="auto"/>
        <w:ind w:firstLine="566" w:firstLineChars="236"/>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kern w:val="2"/>
          <w:sz w:val="24"/>
          <w:szCs w:val="24"/>
          <w:highlight w:val="none"/>
          <w:lang w:val="en-US" w:eastAsia="zh-CN" w:bidi="ar-SA"/>
        </w:rPr>
        <w:t>1.1服务内容：</w:t>
      </w:r>
      <w:r>
        <w:rPr>
          <w:rFonts w:hint="eastAsia" w:ascii="Times New Roman" w:hAnsi="Times New Roman" w:eastAsia="宋体" w:cs="Times New Roman"/>
          <w:bCs/>
          <w:snapToGrid w:val="0"/>
          <w:color w:val="auto"/>
          <w:kern w:val="0"/>
          <w:sz w:val="24"/>
          <w:lang w:val="en-US" w:eastAsia="zh-CN"/>
        </w:rPr>
        <w:t>为顺利完成广州北环高速公路白坭河大桥健康监测及碰撞预警监测系统运维期间海事相关功能维护的需求</w:t>
      </w:r>
      <w:r>
        <w:rPr>
          <w:rFonts w:hint="eastAsia" w:ascii="Times New Roman" w:hAnsi="Times New Roman" w:eastAsia="宋体" w:cs="Times New Roman"/>
          <w:bCs/>
          <w:snapToGrid w:val="0"/>
          <w:color w:val="auto"/>
          <w:kern w:val="0"/>
          <w:sz w:val="24"/>
          <w:lang w:eastAsia="zh-CN"/>
        </w:rPr>
        <w:t>，</w:t>
      </w:r>
      <w:r>
        <w:rPr>
          <w:rFonts w:hint="eastAsia" w:ascii="Times New Roman" w:hAnsi="Times New Roman" w:eastAsia="宋体" w:cs="Times New Roman"/>
          <w:bCs/>
          <w:snapToGrid w:val="0"/>
          <w:color w:val="auto"/>
          <w:kern w:val="0"/>
          <w:sz w:val="24"/>
          <w:lang w:val="en-US" w:eastAsia="zh-CN"/>
        </w:rPr>
        <w:t>需专业机构对设备及软件进行维护。</w:t>
      </w:r>
    </w:p>
    <w:p>
      <w:pPr>
        <w:pStyle w:val="3"/>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具体工程量如下：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3563"/>
        <w:gridCol w:w="912"/>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73" w:type="dxa"/>
            <w:vAlign w:val="center"/>
          </w:tcPr>
          <w:p>
            <w:pPr>
              <w:jc w:val="center"/>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lang w:val="en-US" w:eastAsia="zh-CN"/>
              </w:rPr>
              <w:t>序号</w:t>
            </w:r>
          </w:p>
        </w:tc>
        <w:tc>
          <w:tcPr>
            <w:tcW w:w="3563" w:type="dxa"/>
            <w:vAlign w:val="center"/>
          </w:tcPr>
          <w:p>
            <w:pPr>
              <w:jc w:val="center"/>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lang w:val="en-US" w:eastAsia="zh-CN"/>
              </w:rPr>
              <w:t>服务内容</w:t>
            </w:r>
          </w:p>
        </w:tc>
        <w:tc>
          <w:tcPr>
            <w:tcW w:w="912"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单位</w:t>
            </w:r>
          </w:p>
        </w:tc>
        <w:tc>
          <w:tcPr>
            <w:tcW w:w="1400"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7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1</w:t>
            </w:r>
          </w:p>
        </w:tc>
        <w:tc>
          <w:tcPr>
            <w:tcW w:w="356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日常系统监管，运维运维与应急服务</w:t>
            </w:r>
          </w:p>
        </w:tc>
        <w:tc>
          <w:tcPr>
            <w:tcW w:w="912"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项</w:t>
            </w:r>
          </w:p>
        </w:tc>
        <w:tc>
          <w:tcPr>
            <w:tcW w:w="1400"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7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2</w:t>
            </w:r>
          </w:p>
        </w:tc>
        <w:tc>
          <w:tcPr>
            <w:tcW w:w="356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软件及云后台数据服务</w:t>
            </w:r>
          </w:p>
        </w:tc>
        <w:tc>
          <w:tcPr>
            <w:tcW w:w="912"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项</w:t>
            </w:r>
          </w:p>
        </w:tc>
        <w:tc>
          <w:tcPr>
            <w:tcW w:w="1400"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97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3</w:t>
            </w:r>
          </w:p>
        </w:tc>
        <w:tc>
          <w:tcPr>
            <w:tcW w:w="356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现场巡检费用</w:t>
            </w:r>
          </w:p>
        </w:tc>
        <w:tc>
          <w:tcPr>
            <w:tcW w:w="912"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项</w:t>
            </w:r>
          </w:p>
        </w:tc>
        <w:tc>
          <w:tcPr>
            <w:tcW w:w="1400"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4</w:t>
            </w:r>
          </w:p>
        </w:tc>
        <w:tc>
          <w:tcPr>
            <w:tcW w:w="3563"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材料费</w:t>
            </w:r>
          </w:p>
        </w:tc>
        <w:tc>
          <w:tcPr>
            <w:tcW w:w="912"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项</w:t>
            </w:r>
          </w:p>
        </w:tc>
        <w:tc>
          <w:tcPr>
            <w:tcW w:w="1400" w:type="dxa"/>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1</w:t>
            </w:r>
          </w:p>
        </w:tc>
      </w:tr>
    </w:tbl>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1.2服务期：签订合同之日起至2023年12月31日</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1.3最高报价限价：</w:t>
      </w:r>
      <w:r>
        <w:rPr>
          <w:rFonts w:hint="eastAsia" w:cs="Times New Roman"/>
          <w:color w:val="auto"/>
          <w:kern w:val="2"/>
          <w:sz w:val="24"/>
          <w:szCs w:val="24"/>
          <w:highlight w:val="none"/>
          <w:lang w:val="en-US" w:eastAsia="zh-CN" w:bidi="ar-SA"/>
        </w:rPr>
        <w:t>56000</w:t>
      </w:r>
      <w:r>
        <w:rPr>
          <w:rFonts w:hint="eastAsia" w:ascii="Times New Roman" w:hAnsi="Times New Roman" w:eastAsia="宋体" w:cs="Times New Roman"/>
          <w:color w:val="auto"/>
          <w:kern w:val="2"/>
          <w:sz w:val="24"/>
          <w:szCs w:val="24"/>
          <w:highlight w:val="none"/>
          <w:lang w:val="en-US" w:eastAsia="zh-CN" w:bidi="ar-SA"/>
        </w:rPr>
        <w:t>元。</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1.4项目所在地：广州市。</w:t>
      </w:r>
    </w:p>
    <w:p>
      <w:pPr>
        <w:numPr>
          <w:ilvl w:val="0"/>
          <w:numId w:val="0"/>
        </w:numPr>
        <w:topLinePunct/>
        <w:spacing w:line="360" w:lineRule="auto"/>
        <w:outlineLvl w:val="1"/>
        <w:rPr>
          <w:rFonts w:hint="eastAsia"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2.</w:t>
      </w:r>
      <w:r>
        <w:rPr>
          <w:rFonts w:hint="eastAsia" w:ascii="Times New Roman" w:hAnsi="Times New Roman" w:eastAsia="宋体" w:cs="Times New Roman"/>
          <w:b/>
          <w:snapToGrid w:val="0"/>
          <w:color w:val="auto"/>
          <w:kern w:val="0"/>
          <w:sz w:val="24"/>
        </w:rPr>
        <w:t>技术要求</w:t>
      </w:r>
    </w:p>
    <w:p>
      <w:pPr>
        <w:keepNext w:val="0"/>
        <w:keepLines w:val="0"/>
        <w:pageBreakBefore w:val="0"/>
        <w:widowControl w:val="0"/>
        <w:kinsoku/>
        <w:wordWrap w:val="0"/>
        <w:overflowPunct/>
        <w:topLinePunct/>
        <w:autoSpaceDE/>
        <w:autoSpaceDN/>
        <w:bidi w:val="0"/>
        <w:adjustRightInd/>
        <w:snapToGrid/>
        <w:spacing w:line="400" w:lineRule="exact"/>
        <w:ind w:firstLine="566" w:firstLineChars="236"/>
        <w:textAlignment w:val="auto"/>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2.1</w:t>
      </w:r>
      <w:r>
        <w:rPr>
          <w:rFonts w:hint="eastAsia" w:ascii="Times New Roman" w:hAnsi="Times New Roman" w:eastAsia="宋体" w:cs="Times New Roman"/>
          <w:color w:val="auto"/>
          <w:sz w:val="24"/>
          <w:highlight w:val="none"/>
          <w:lang w:val="en-US" w:eastAsia="zh-CN"/>
        </w:rPr>
        <w:t>符合国家及省、市有关检测合格标准，符合规范有关要求及采购人要求</w:t>
      </w:r>
      <w:r>
        <w:rPr>
          <w:rFonts w:hint="eastAsia" w:ascii="Times New Roman" w:hAnsi="Times New Roman" w:eastAsia="宋体" w:cs="Times New Roman"/>
          <w:color w:val="auto"/>
          <w:sz w:val="24"/>
        </w:rPr>
        <w:t>。</w:t>
      </w:r>
    </w:p>
    <w:p>
      <w:pPr>
        <w:keepNext w:val="0"/>
        <w:keepLines w:val="0"/>
        <w:pageBreakBefore w:val="0"/>
        <w:widowControl w:val="0"/>
        <w:kinsoku/>
        <w:wordWrap w:val="0"/>
        <w:overflowPunct/>
        <w:topLinePunct/>
        <w:autoSpaceDE/>
        <w:autoSpaceDN/>
        <w:bidi w:val="0"/>
        <w:adjustRightInd/>
        <w:snapToGrid/>
        <w:spacing w:line="400" w:lineRule="exact"/>
        <w:ind w:firstLine="566" w:firstLineChars="236"/>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2.2严格执行有关安全生产的法律法规和规章制度，确保项目服务期内人员无安全事故发生</w:t>
      </w:r>
      <w:r>
        <w:rPr>
          <w:rFonts w:hint="eastAsia" w:ascii="Times New Roman" w:hAnsi="Times New Roman" w:eastAsia="宋体" w:cs="Times New Roman"/>
          <w:color w:val="auto"/>
          <w:sz w:val="24"/>
          <w:highlight w:val="none"/>
        </w:rPr>
        <w:t>。</w:t>
      </w:r>
    </w:p>
    <w:p>
      <w:pPr>
        <w:keepNext w:val="0"/>
        <w:keepLines w:val="0"/>
        <w:pageBreakBefore w:val="0"/>
        <w:widowControl w:val="0"/>
        <w:kinsoku/>
        <w:overflowPunct/>
        <w:topLinePunct/>
        <w:autoSpaceDE/>
        <w:autoSpaceDN/>
        <w:bidi w:val="0"/>
        <w:adjustRightInd/>
        <w:snapToGrid/>
        <w:spacing w:line="400" w:lineRule="exact"/>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3.供应商资格条件</w:t>
      </w:r>
    </w:p>
    <w:p>
      <w:pPr>
        <w:pStyle w:val="3"/>
        <w:keepNext w:val="0"/>
        <w:keepLines w:val="0"/>
        <w:pageBreakBefore w:val="0"/>
        <w:widowControl w:val="0"/>
        <w:kinsoku/>
        <w:overflowPunct/>
        <w:autoSpaceDE/>
        <w:autoSpaceDN/>
        <w:bidi w:val="0"/>
        <w:adjustRightInd/>
        <w:snapToGrid/>
        <w:spacing w:line="400" w:lineRule="exac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color w:val="auto"/>
          <w:sz w:val="24"/>
          <w:highlight w:val="none"/>
          <w:lang w:val="en-US" w:eastAsia="zh-CN"/>
        </w:rPr>
        <w:t>3.1信用信誉良好，具备履行本项目服务的能力。</w:t>
      </w:r>
    </w:p>
    <w:p>
      <w:pPr>
        <w:keepNext w:val="0"/>
        <w:keepLines w:val="0"/>
        <w:pageBreakBefore w:val="0"/>
        <w:widowControl w:val="0"/>
        <w:kinsoku/>
        <w:overflowPunct/>
        <w:topLinePunct/>
        <w:autoSpaceDE/>
        <w:autoSpaceDN/>
        <w:bidi w:val="0"/>
        <w:adjustRightInd/>
        <w:snapToGrid/>
        <w:spacing w:line="400" w:lineRule="exact"/>
        <w:textAlignment w:val="auto"/>
        <w:outlineLvl w:val="1"/>
        <w:rPr>
          <w:rFonts w:hint="default" w:ascii="Times New Roman" w:hAnsi="Times New Roman" w:eastAsia="宋体" w:cs="Times New Roman"/>
          <w:b/>
          <w:snapToGrid w:val="0"/>
          <w:color w:val="auto"/>
          <w:kern w:val="0"/>
          <w:sz w:val="24"/>
          <w:lang w:val="en-US"/>
        </w:rPr>
      </w:pPr>
      <w:r>
        <w:rPr>
          <w:rFonts w:hint="eastAsia" w:ascii="Times New Roman" w:hAnsi="Times New Roman" w:eastAsia="宋体" w:cs="Times New Roman"/>
          <w:b/>
          <w:snapToGrid w:val="0"/>
          <w:color w:val="auto"/>
          <w:kern w:val="0"/>
          <w:sz w:val="24"/>
          <w:lang w:val="en-US" w:eastAsia="zh-CN"/>
        </w:rPr>
        <w:t>4.响应回执的递交</w:t>
      </w:r>
    </w:p>
    <w:p>
      <w:pPr>
        <w:keepNext w:val="0"/>
        <w:keepLines w:val="0"/>
        <w:pageBreakBefore w:val="0"/>
        <w:widowControl w:val="0"/>
        <w:kinsoku/>
        <w:overflowPunct/>
        <w:autoSpaceDE/>
        <w:autoSpaceDN/>
        <w:bidi w:val="0"/>
        <w:adjustRightInd/>
        <w:snapToGrid/>
        <w:spacing w:line="40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u w:val="single"/>
        </w:rPr>
        <w:t>20</w:t>
      </w:r>
      <w:r>
        <w:rPr>
          <w:rFonts w:hint="eastAsia" w:ascii="Times New Roman" w:hAnsi="Times New Roman" w:eastAsia="宋体" w:cs="Times New Roman"/>
          <w:color w:val="000000"/>
          <w:sz w:val="24"/>
          <w:u w:val="single"/>
          <w:lang w:val="en-US" w:eastAsia="zh-CN"/>
        </w:rPr>
        <w:t>23</w:t>
      </w:r>
      <w:r>
        <w:rPr>
          <w:rFonts w:hint="eastAsia" w:ascii="Times New Roman" w:hAnsi="Times New Roman" w:eastAsia="宋体" w:cs="Times New Roman"/>
          <w:color w:val="000000"/>
          <w:sz w:val="24"/>
          <w:u w:val="single"/>
        </w:rPr>
        <w:t>年</w:t>
      </w:r>
      <w:r>
        <w:rPr>
          <w:rFonts w:hint="eastAsia" w:ascii="Times New Roman" w:hAnsi="Times New Roman" w:eastAsia="宋体" w:cs="Times New Roman"/>
          <w:color w:val="000000"/>
          <w:sz w:val="24"/>
          <w:u w:val="single"/>
          <w:lang w:val="en-US" w:eastAsia="zh-CN"/>
        </w:rPr>
        <w:t>8</w:t>
      </w:r>
      <w:r>
        <w:rPr>
          <w:rFonts w:hint="eastAsia" w:ascii="Times New Roman" w:hAnsi="Times New Roman" w:eastAsia="宋体" w:cs="Times New Roman"/>
          <w:color w:val="000000"/>
          <w:sz w:val="24"/>
          <w:u w:val="single"/>
        </w:rPr>
        <w:t>月</w:t>
      </w:r>
      <w:r>
        <w:rPr>
          <w:rFonts w:hint="eastAsia" w:cs="Times New Roman"/>
          <w:color w:val="000000"/>
          <w:sz w:val="24"/>
          <w:u w:val="single"/>
          <w:lang w:val="en-US" w:eastAsia="zh-CN"/>
        </w:rPr>
        <w:t>23</w:t>
      </w:r>
      <w:bookmarkStart w:id="3" w:name="_GoBack"/>
      <w:bookmarkEnd w:id="3"/>
      <w:r>
        <w:rPr>
          <w:rFonts w:hint="eastAsia" w:ascii="Times New Roman" w:hAnsi="Times New Roman" w:eastAsia="宋体" w:cs="Times New Roman"/>
          <w:color w:val="000000"/>
          <w:sz w:val="24"/>
          <w:u w:val="single"/>
        </w:rPr>
        <w:t>日</w:t>
      </w:r>
      <w:r>
        <w:rPr>
          <w:rFonts w:hint="eastAsia" w:ascii="Times New Roman" w:hAnsi="Times New Roman" w:eastAsia="宋体" w:cs="Times New Roman"/>
          <w:color w:val="000000"/>
          <w:sz w:val="24"/>
          <w:u w:val="single"/>
          <w:lang w:val="en-US" w:eastAsia="zh-CN"/>
        </w:rPr>
        <w:t>17:00</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overflowPunct/>
        <w:topLinePunct/>
        <w:autoSpaceDE/>
        <w:autoSpaceDN/>
        <w:bidi w:val="0"/>
        <w:adjustRightInd/>
        <w:snapToGrid/>
        <w:spacing w:line="400" w:lineRule="exact"/>
        <w:textAlignment w:val="auto"/>
        <w:outlineLvl w:val="1"/>
        <w:rPr>
          <w:rFonts w:ascii="Times New Roman" w:hAnsi="Times New Roman" w:eastAsia="宋体" w:cs="Times New Roman"/>
          <w:b/>
          <w:snapToGrid w:val="0"/>
          <w:color w:val="000000"/>
          <w:kern w:val="0"/>
          <w:sz w:val="24"/>
        </w:rPr>
      </w:pPr>
      <w:bookmarkStart w:id="0" w:name="_Toc332965960"/>
      <w:bookmarkStart w:id="1" w:name="_Toc332793818"/>
      <w:bookmarkStart w:id="2" w:name="_Toc332793891"/>
      <w:r>
        <w:rPr>
          <w:rFonts w:ascii="Times New Roman" w:hAnsi="Times New Roman" w:eastAsia="宋体" w:cs="Times New Roman"/>
          <w:b/>
          <w:snapToGrid w:val="0"/>
          <w:color w:val="000000"/>
          <w:kern w:val="0"/>
          <w:sz w:val="24"/>
        </w:rPr>
        <w:t xml:space="preserve">3. </w:t>
      </w:r>
      <w:r>
        <w:rPr>
          <w:rFonts w:hint="eastAsia" w:ascii="Times New Roman" w:hAnsi="Times New Roman" w:eastAsia="宋体" w:cs="Times New Roman"/>
          <w:b/>
          <w:snapToGrid w:val="0"/>
          <w:color w:val="000000"/>
          <w:kern w:val="0"/>
          <w:sz w:val="24"/>
        </w:rPr>
        <w:t>联系方式</w:t>
      </w:r>
      <w:bookmarkEnd w:id="0"/>
      <w:bookmarkEnd w:id="1"/>
      <w:bookmarkEnd w:id="2"/>
    </w:p>
    <w:p>
      <w:pPr>
        <w:keepNext w:val="0"/>
        <w:keepLines w:val="0"/>
        <w:pageBreakBefore w:val="0"/>
        <w:widowControl w:val="0"/>
        <w:kinsoku/>
        <w:overflowPunct/>
        <w:topLinePunct/>
        <w:autoSpaceDE/>
        <w:autoSpaceDN/>
        <w:bidi w:val="0"/>
        <w:adjustRightInd/>
        <w:snapToGrid/>
        <w:spacing w:line="40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overflowPunct/>
        <w:topLinePunct/>
        <w:autoSpaceDE/>
        <w:autoSpaceDN/>
        <w:bidi w:val="0"/>
        <w:adjustRightInd/>
        <w:snapToGrid/>
        <w:spacing w:line="40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overflowPunct/>
        <w:topLinePunct/>
        <w:autoSpaceDE/>
        <w:autoSpaceDN/>
        <w:bidi w:val="0"/>
        <w:adjustRightInd/>
        <w:snapToGrid/>
        <w:spacing w:line="400" w:lineRule="exact"/>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overflowPunct/>
        <w:topLinePunct/>
        <w:autoSpaceDE/>
        <w:autoSpaceDN/>
        <w:bidi w:val="0"/>
        <w:adjustRightInd/>
        <w:snapToGrid/>
        <w:spacing w:line="40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overflowPunct/>
        <w:topLinePunct/>
        <w:autoSpaceDE/>
        <w:autoSpaceDN/>
        <w:bidi w:val="0"/>
        <w:adjustRightInd/>
        <w:snapToGrid/>
        <w:spacing w:line="40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topLinePunct/>
        <w:spacing w:line="360" w:lineRule="auto"/>
        <w:jc w:val="right"/>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topLinePunct/>
        <w:spacing w:line="360" w:lineRule="auto"/>
        <w:jc w:val="center"/>
        <w:rPr>
          <w:rFonts w:ascii="宋体"/>
          <w:color w:val="000000"/>
          <w:sz w:val="24"/>
        </w:rPr>
      </w:pPr>
      <w:r>
        <w:rPr>
          <w:rFonts w:ascii="Times New Roman" w:hAnsi="Times New Roman" w:eastAsia="宋体" w:cs="Times New Roman"/>
          <w:color w:val="000000"/>
          <w:sz w:val="24"/>
        </w:rPr>
        <w:t xml:space="preserve">                                              20</w:t>
      </w:r>
      <w:r>
        <w:rPr>
          <w:rFonts w:hint="eastAsia" w:ascii="Times New Roman" w:hAnsi="Times New Roman" w:eastAsia="宋体" w:cs="Times New Roman"/>
          <w:color w:val="000000"/>
          <w:sz w:val="24"/>
          <w:lang w:val="en-US" w:eastAsia="zh-CN"/>
        </w:rPr>
        <w:t>23</w:t>
      </w:r>
      <w:r>
        <w:rPr>
          <w:rFonts w:hint="eastAsia" w:ascii="Times New Roman" w:hAnsi="Times New Roman" w:eastAsia="宋体" w:cs="Times New Roman"/>
          <w:color w:val="000000"/>
          <w:sz w:val="24"/>
        </w:rPr>
        <w:t>年</w:t>
      </w:r>
      <w:r>
        <w:rPr>
          <w:rFonts w:hint="eastAsia" w:ascii="Times New Roman" w:hAnsi="Times New Roman" w:eastAsia="宋体" w:cs="Times New Roman"/>
          <w:color w:val="000000"/>
          <w:sz w:val="24"/>
          <w:lang w:val="en-US" w:eastAsia="zh-CN"/>
        </w:rPr>
        <w:t>8</w:t>
      </w:r>
      <w:r>
        <w:rPr>
          <w:rFonts w:hint="eastAsia" w:ascii="Times New Roman" w:hAnsi="Times New Roman" w:eastAsia="宋体" w:cs="Times New Roman"/>
          <w:color w:val="000000"/>
          <w:sz w:val="24"/>
        </w:rPr>
        <w:t>月</w:t>
      </w:r>
      <w:r>
        <w:rPr>
          <w:rFonts w:hint="eastAsia" w:cs="Times New Roman"/>
          <w:color w:val="000000"/>
          <w:sz w:val="24"/>
          <w:lang w:val="en-US" w:eastAsia="zh-CN"/>
        </w:rPr>
        <w:t>21</w:t>
      </w:r>
      <w:r>
        <w:rPr>
          <w:rFonts w:hint="eastAsia" w:ascii="Times New Roman" w:hAnsi="Times New Roman" w:eastAsia="宋体" w:cs="Times New Roman"/>
          <w:color w:val="000000"/>
          <w:sz w:val="24"/>
        </w:rPr>
        <w:t>日</w:t>
      </w:r>
    </w:p>
    <w:p>
      <w:r>
        <w:br w:type="page"/>
      </w: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eastAsia="zh-CN"/>
        </w:rPr>
        <w:t>广州诚安路桥检测有限公司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白坭河大桥监测系统维护服务询价意向征集公告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righ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wordWrap w:val="0"/>
        <w:topLinePunct/>
        <w:spacing w:line="480" w:lineRule="auto"/>
        <w:ind w:left="2520" w:hanging="2520" w:hangingChars="900"/>
        <w:jc w:val="right"/>
        <w:rPr>
          <w:rFonts w:hint="default" w:ascii="仿宋" w:hAnsi="仿宋" w:eastAsia="仿宋" w:cs="仿宋"/>
          <w:snapToGrid w:val="0"/>
          <w:color w:val="000000"/>
          <w:kern w:val="0"/>
          <w:sz w:val="28"/>
          <w:szCs w:val="28"/>
          <w:highlight w:val="none"/>
          <w:lang w:val="en-US" w:eastAsia="zh-CN"/>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lang w:val="en-US" w:eastAsia="zh-CN"/>
        </w:rPr>
        <w:t xml:space="preserve">                </w:t>
      </w:r>
    </w:p>
    <w:p>
      <w:pPr>
        <w:wordWrap w:val="0"/>
        <w:topLinePunct/>
        <w:spacing w:line="480" w:lineRule="auto"/>
        <w:jc w:val="right"/>
        <w:rPr>
          <w:rFonts w:hint="default" w:ascii="仿宋" w:hAnsi="仿宋" w:eastAsia="仿宋" w:cs="仿宋"/>
          <w:snapToGrid w:val="0"/>
          <w:color w:val="000000"/>
          <w:kern w:val="0"/>
          <w:sz w:val="28"/>
          <w:szCs w:val="28"/>
          <w:highlight w:val="none"/>
          <w:lang w:val="en-US"/>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lang w:eastAsia="zh-CN"/>
        </w:rPr>
        <w:t>：</w:t>
      </w:r>
      <w:r>
        <w:rPr>
          <w:rFonts w:hint="eastAsia" w:ascii="仿宋" w:hAnsi="仿宋" w:eastAsia="仿宋" w:cs="仿宋"/>
          <w:snapToGrid w:val="0"/>
          <w:color w:val="000000"/>
          <w:kern w:val="0"/>
          <w:sz w:val="28"/>
          <w:szCs w:val="28"/>
          <w:highlight w:val="none"/>
          <w:u w:val="single"/>
          <w:lang w:val="en-US" w:eastAsia="zh-CN"/>
        </w:rPr>
        <w:t xml:space="preserve">               </w:t>
      </w:r>
    </w:p>
    <w:p>
      <w:pPr>
        <w:wordWrap w:val="0"/>
        <w:topLinePunct/>
        <w:spacing w:line="480" w:lineRule="auto"/>
        <w:jc w:val="right"/>
        <w:rPr>
          <w:rFonts w:hint="default" w:ascii="仿宋" w:hAnsi="仿宋" w:eastAsia="仿宋" w:cs="仿宋"/>
          <w:snapToGrid w:val="0"/>
          <w:color w:val="000000"/>
          <w:kern w:val="0"/>
          <w:sz w:val="28"/>
          <w:szCs w:val="28"/>
          <w:highlight w:val="none"/>
          <w:lang w:val="en-US" w:eastAsia="zh-CN"/>
        </w:rPr>
      </w:pP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lang w:val="en-US" w:eastAsia="zh-CN"/>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pPr>
        <w:pStyle w:val="3"/>
      </w:pPr>
    </w:p>
    <w:sectPr>
      <w:pgSz w:w="11906" w:h="16838"/>
      <w:pgMar w:top="1134" w:right="1020" w:bottom="1134" w:left="102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46373F1"/>
    <w:rsid w:val="0A69025B"/>
    <w:rsid w:val="12ED5CBA"/>
    <w:rsid w:val="16937FDC"/>
    <w:rsid w:val="57BF2D4E"/>
    <w:rsid w:val="58B74CBC"/>
    <w:rsid w:val="63166D1A"/>
    <w:rsid w:val="6D804479"/>
    <w:rsid w:val="74ED791E"/>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0"/>
    </w:rPr>
  </w:style>
  <w:style w:type="paragraph" w:styleId="3">
    <w:name w:val="Normal Indent"/>
    <w:basedOn w:val="1"/>
    <w:qFormat/>
    <w:uiPriority w:val="99"/>
    <w:pPr>
      <w:ind w:firstLine="420" w:firstLineChars="200"/>
    </w:p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641</Words>
  <Characters>720</Characters>
  <Lines>0</Lines>
  <Paragraphs>0</Paragraphs>
  <TotalTime>4</TotalTime>
  <ScaleCrop>false</ScaleCrop>
  <LinksUpToDate>false</LinksUpToDate>
  <CharactersWithSpaces>884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2022-10-20T06:50:00Z</cp:lastPrinted>
  <dcterms:modified xsi:type="dcterms:W3CDTF">2023-08-18T08:55:46Z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