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default" w:ascii="Times New Roman" w:hAnsi="Times New Roman" w:eastAsia="宋体" w:cs="Times New Roman"/>
          <w:b/>
          <w:color w:val="000000"/>
          <w:sz w:val="30"/>
          <w:szCs w:val="30"/>
        </w:rPr>
      </w:pPr>
      <w:r>
        <w:rPr>
          <w:rFonts w:hint="default" w:ascii="Times New Roman" w:hAnsi="Times New Roman" w:eastAsia="宋体" w:cs="Times New Roman"/>
          <w:b/>
          <w:color w:val="000000"/>
          <w:sz w:val="30"/>
          <w:szCs w:val="30"/>
        </w:rPr>
        <w:t>广州市</w:t>
      </w:r>
      <w:r>
        <w:rPr>
          <w:rFonts w:hint="eastAsia" w:ascii="Times New Roman" w:hAnsi="Times New Roman" w:eastAsia="宋体" w:cs="Times New Roman"/>
          <w:b/>
          <w:color w:val="000000"/>
          <w:sz w:val="30"/>
          <w:szCs w:val="30"/>
          <w:lang w:eastAsia="zh-CN"/>
        </w:rPr>
        <w:t>西二环高速公路有限公司</w:t>
      </w:r>
      <w:r>
        <w:rPr>
          <w:rFonts w:hint="eastAsia" w:ascii="Times New Roman" w:hAnsi="Times New Roman" w:eastAsia="宋体" w:cs="Times New Roman"/>
          <w:b/>
          <w:color w:val="000000"/>
          <w:sz w:val="30"/>
          <w:szCs w:val="30"/>
          <w:lang w:val="en-US" w:eastAsia="zh-CN"/>
        </w:rPr>
        <w:t>2023年度机电系统综合专项</w:t>
      </w:r>
      <w:r>
        <w:rPr>
          <w:rFonts w:hint="eastAsia" w:cs="Times New Roman"/>
          <w:b/>
          <w:color w:val="000000"/>
          <w:sz w:val="30"/>
          <w:szCs w:val="30"/>
          <w:lang w:val="en-US" w:eastAsia="zh-CN"/>
        </w:rPr>
        <w:t>门架式情报板</w:t>
      </w:r>
      <w:r>
        <w:rPr>
          <w:rFonts w:hint="default" w:ascii="Times New Roman" w:hAnsi="Times New Roman" w:eastAsia="宋体" w:cs="Times New Roman"/>
          <w:b/>
          <w:color w:val="000000"/>
          <w:sz w:val="30"/>
          <w:szCs w:val="30"/>
        </w:rPr>
        <w:t>采购意向征集公告</w:t>
      </w:r>
    </w:p>
    <w:p>
      <w:pPr>
        <w:pStyle w:val="2"/>
        <w:rPr>
          <w:rFonts w:hint="default" w:ascii="Times New Roman" w:hAnsi="Times New Roman" w:eastAsia="宋体" w:cs="Times New Roman"/>
          <w:sz w:val="24"/>
          <w:szCs w:val="24"/>
        </w:rPr>
      </w:pP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1.1项目名称：</w:t>
      </w:r>
      <w:r>
        <w:rPr>
          <w:rFonts w:hint="default" w:ascii="Times New Roman" w:hAnsi="Times New Roman" w:eastAsia="宋体" w:cs="Times New Roman"/>
          <w:bCs/>
          <w:snapToGrid w:val="0"/>
          <w:kern w:val="0"/>
          <w:sz w:val="24"/>
          <w:szCs w:val="24"/>
          <w:lang w:eastAsia="zh-CN"/>
        </w:rPr>
        <w:t>广州市</w:t>
      </w:r>
      <w:r>
        <w:rPr>
          <w:rFonts w:hint="eastAsia" w:ascii="Times New Roman" w:hAnsi="Times New Roman" w:eastAsia="宋体" w:cs="Times New Roman"/>
          <w:bCs/>
          <w:snapToGrid w:val="0"/>
          <w:kern w:val="0"/>
          <w:sz w:val="24"/>
          <w:szCs w:val="24"/>
          <w:lang w:eastAsia="zh-CN"/>
        </w:rPr>
        <w:t>西二环高速公路有限公司</w:t>
      </w:r>
      <w:r>
        <w:rPr>
          <w:rFonts w:hint="eastAsia" w:ascii="Times New Roman" w:hAnsi="Times New Roman" w:eastAsia="宋体" w:cs="Times New Roman"/>
          <w:bCs/>
          <w:snapToGrid w:val="0"/>
          <w:kern w:val="0"/>
          <w:sz w:val="24"/>
          <w:szCs w:val="24"/>
          <w:lang w:val="en-US" w:eastAsia="zh-CN"/>
        </w:rPr>
        <w:t>2023年度机电系统综合专项</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3"/>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snapToGrid w:val="0"/>
          <w:kern w:val="0"/>
          <w:sz w:val="24"/>
          <w:szCs w:val="24"/>
        </w:rPr>
        <w:t>具体工程量清单</w:t>
      </w:r>
    </w:p>
    <w:tbl>
      <w:tblPr>
        <w:tblStyle w:val="13"/>
        <w:tblW w:w="83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2115"/>
        <w:gridCol w:w="1470"/>
        <w:gridCol w:w="855"/>
        <w:gridCol w:w="855"/>
        <w:gridCol w:w="23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652"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2115"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材料名称</w:t>
            </w:r>
          </w:p>
        </w:tc>
        <w:tc>
          <w:tcPr>
            <w:tcW w:w="1470"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规格型号</w:t>
            </w:r>
          </w:p>
        </w:tc>
        <w:tc>
          <w:tcPr>
            <w:tcW w:w="855"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855"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2382"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652" w:type="dxa"/>
            <w:shd w:val="clear" w:color="auto" w:fill="auto"/>
            <w:vAlign w:val="center"/>
          </w:tcPr>
          <w:p>
            <w:pPr>
              <w:spacing w:before="156" w:beforeLines="50" w:after="156" w:afterLines="50"/>
              <w:jc w:val="center"/>
              <w:rPr>
                <w:rFonts w:hint="default" w:ascii="Times New Roman" w:hAnsi="Times New Roman" w:eastAsia="宋体" w:cs="Times New Roman"/>
                <w:sz w:val="21"/>
                <w:szCs w:val="21"/>
                <w:lang w:val="en-US" w:eastAsia="zh-CN"/>
              </w:rPr>
            </w:pPr>
            <w:r>
              <w:rPr>
                <w:rFonts w:hint="eastAsia" w:hAnsiTheme="minorEastAsia" w:eastAsiaTheme="minorEastAsia"/>
                <w:szCs w:val="21"/>
                <w:lang w:val="en-US" w:eastAsia="zh-CN"/>
              </w:rPr>
              <w:t>1</w:t>
            </w:r>
          </w:p>
        </w:tc>
        <w:tc>
          <w:tcPr>
            <w:tcW w:w="2115" w:type="dxa"/>
            <w:shd w:val="clear" w:color="auto" w:fill="auto"/>
            <w:vAlign w:val="center"/>
          </w:tcPr>
          <w:p>
            <w:pPr>
              <w:spacing w:before="156" w:beforeLines="50" w:after="156" w:afterLines="50"/>
              <w:jc w:val="center"/>
              <w:rPr>
                <w:rFonts w:hint="default" w:ascii="Times New Roman" w:hAnsi="Times New Roman" w:eastAsia="宋体" w:cs="Times New Roman"/>
                <w:sz w:val="21"/>
                <w:szCs w:val="21"/>
                <w:lang w:val="en-US" w:eastAsia="zh-CN"/>
              </w:rPr>
            </w:pPr>
            <w:r>
              <w:rPr>
                <w:rFonts w:hint="eastAsia" w:hAnsiTheme="minorEastAsia" w:eastAsiaTheme="minorEastAsia"/>
                <w:szCs w:val="21"/>
                <w:lang w:val="en-US" w:eastAsia="zh-CN"/>
              </w:rPr>
              <w:t>门架式情报板板体（屏体有效显示尺寸12m×1m）</w:t>
            </w:r>
          </w:p>
        </w:tc>
        <w:tc>
          <w:tcPr>
            <w:tcW w:w="1470" w:type="dxa"/>
            <w:shd w:val="clear" w:color="auto" w:fill="auto"/>
            <w:vAlign w:val="center"/>
          </w:tcPr>
          <w:p>
            <w:pPr>
              <w:spacing w:before="156" w:beforeLines="50" w:after="156" w:afterLines="50"/>
              <w:jc w:val="center"/>
              <w:rPr>
                <w:rFonts w:hint="default" w:ascii="Times New Roman" w:hAnsi="Times New Roman" w:eastAsia="宋体" w:cs="Times New Roman"/>
                <w:sz w:val="21"/>
                <w:szCs w:val="21"/>
                <w:lang w:val="en-US" w:eastAsia="zh-CN"/>
              </w:rPr>
            </w:pPr>
          </w:p>
        </w:tc>
        <w:tc>
          <w:tcPr>
            <w:tcW w:w="855" w:type="dxa"/>
            <w:shd w:val="clear" w:color="auto" w:fill="auto"/>
            <w:vAlign w:val="center"/>
          </w:tcPr>
          <w:p>
            <w:pPr>
              <w:spacing w:before="156" w:beforeLines="50" w:after="156" w:afterLines="50"/>
              <w:jc w:val="center"/>
              <w:rPr>
                <w:rFonts w:hint="default" w:ascii="Times New Roman" w:hAnsi="Times New Roman" w:eastAsia="宋体" w:cs="Times New Roman"/>
                <w:sz w:val="21"/>
                <w:szCs w:val="21"/>
                <w:lang w:val="en-US" w:eastAsia="zh-CN"/>
              </w:rPr>
            </w:pPr>
            <w:r>
              <w:rPr>
                <w:rFonts w:hint="eastAsia" w:hAnsiTheme="minorEastAsia" w:eastAsiaTheme="minorEastAsia"/>
                <w:szCs w:val="21"/>
                <w:lang w:val="en-US" w:eastAsia="zh-CN"/>
              </w:rPr>
              <w:t>套</w:t>
            </w:r>
          </w:p>
        </w:tc>
        <w:tc>
          <w:tcPr>
            <w:tcW w:w="855" w:type="dxa"/>
            <w:shd w:val="clear" w:color="auto" w:fill="auto"/>
            <w:vAlign w:val="center"/>
          </w:tcPr>
          <w:p>
            <w:pPr>
              <w:spacing w:before="156" w:beforeLines="50" w:after="156" w:afterLines="50"/>
              <w:jc w:val="center"/>
              <w:rPr>
                <w:rFonts w:hint="default" w:ascii="Times New Roman" w:hAnsi="Times New Roman" w:eastAsia="宋体" w:cs="Times New Roman"/>
                <w:sz w:val="21"/>
                <w:szCs w:val="21"/>
                <w:lang w:val="en-US" w:eastAsia="zh-CN"/>
              </w:rPr>
            </w:pPr>
            <w:r>
              <w:rPr>
                <w:rFonts w:hint="eastAsia" w:hAnsiTheme="minorEastAsia" w:eastAsiaTheme="minorEastAsia"/>
                <w:szCs w:val="21"/>
                <w:lang w:val="en-US" w:eastAsia="zh-CN"/>
              </w:rPr>
              <w:t>2</w:t>
            </w:r>
          </w:p>
        </w:tc>
        <w:tc>
          <w:tcPr>
            <w:tcW w:w="2382" w:type="dxa"/>
            <w:shd w:val="clear" w:color="auto" w:fill="auto"/>
            <w:vAlign w:val="center"/>
          </w:tcPr>
          <w:p>
            <w:pPr>
              <w:spacing w:before="156" w:beforeLines="50" w:after="156" w:afterLines="50"/>
              <w:jc w:val="center"/>
              <w:rPr>
                <w:rFonts w:hint="default" w:ascii="Times New Roman" w:hAnsi="Times New Roman" w:eastAsia="宋体" w:cs="Times New Roman"/>
                <w:sz w:val="21"/>
                <w:szCs w:val="21"/>
                <w:lang w:val="en-US" w:eastAsia="zh-CN"/>
              </w:rPr>
            </w:pPr>
            <w:r>
              <w:rPr>
                <w:rFonts w:hint="eastAsia" w:hAnsiTheme="minorEastAsia" w:eastAsiaTheme="minorEastAsia"/>
                <w:szCs w:val="21"/>
                <w:lang w:val="en-US" w:eastAsia="zh-CN"/>
              </w:rPr>
              <w:t>含旧屏拆卸运输，含安装调试，含控制器、防雷器。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652" w:type="dxa"/>
            <w:shd w:val="clear" w:color="auto" w:fill="auto"/>
            <w:vAlign w:val="center"/>
          </w:tcPr>
          <w:p>
            <w:pPr>
              <w:spacing w:before="156" w:beforeLines="50" w:after="156" w:afterLines="50"/>
              <w:jc w:val="center"/>
              <w:rPr>
                <w:rFonts w:hint="eastAsia" w:hAnsiTheme="minorEastAsia" w:eastAsiaTheme="minorEastAsia"/>
                <w:szCs w:val="21"/>
                <w:lang w:val="en-US" w:eastAsia="zh-CN"/>
              </w:rPr>
            </w:pPr>
            <w:r>
              <w:rPr>
                <w:rFonts w:hint="eastAsia" w:hAnsiTheme="minorEastAsia" w:eastAsiaTheme="minorEastAsia"/>
                <w:szCs w:val="21"/>
                <w:lang w:val="en-US" w:eastAsia="zh-CN"/>
              </w:rPr>
              <w:t>2</w:t>
            </w:r>
          </w:p>
        </w:tc>
        <w:tc>
          <w:tcPr>
            <w:tcW w:w="2115" w:type="dxa"/>
            <w:shd w:val="clear" w:color="auto" w:fill="auto"/>
            <w:vAlign w:val="center"/>
          </w:tcPr>
          <w:p>
            <w:pPr>
              <w:spacing w:before="156" w:beforeLines="50" w:after="156" w:afterLines="50"/>
              <w:jc w:val="center"/>
              <w:rPr>
                <w:rFonts w:hint="eastAsia" w:hAnsiTheme="minorEastAsia" w:eastAsiaTheme="minorEastAsia"/>
                <w:szCs w:val="21"/>
                <w:lang w:val="en-US" w:eastAsia="zh-CN"/>
              </w:rPr>
            </w:pPr>
            <w:r>
              <w:rPr>
                <w:rFonts w:hint="eastAsia" w:hAnsiTheme="minorEastAsia" w:eastAsiaTheme="minorEastAsia"/>
                <w:szCs w:val="21"/>
                <w:lang w:val="en-US" w:eastAsia="zh-CN"/>
              </w:rPr>
              <w:t>门架式情报板的控制器</w:t>
            </w:r>
          </w:p>
        </w:tc>
        <w:tc>
          <w:tcPr>
            <w:tcW w:w="1470" w:type="dxa"/>
            <w:shd w:val="clear" w:color="auto" w:fill="auto"/>
            <w:vAlign w:val="center"/>
          </w:tcPr>
          <w:p>
            <w:pPr>
              <w:spacing w:before="156" w:beforeLines="50" w:after="156" w:afterLines="50"/>
              <w:jc w:val="center"/>
              <w:rPr>
                <w:rFonts w:hint="default" w:ascii="Times New Roman" w:hAnsi="Times New Roman" w:eastAsia="宋体" w:cs="Times New Roman"/>
                <w:sz w:val="21"/>
                <w:szCs w:val="21"/>
                <w:lang w:val="en-US" w:eastAsia="zh-CN"/>
              </w:rPr>
            </w:pPr>
          </w:p>
        </w:tc>
        <w:tc>
          <w:tcPr>
            <w:tcW w:w="855" w:type="dxa"/>
            <w:shd w:val="clear" w:color="auto" w:fill="auto"/>
            <w:vAlign w:val="center"/>
          </w:tcPr>
          <w:p>
            <w:pPr>
              <w:spacing w:before="156" w:beforeLines="50" w:after="156" w:afterLines="50"/>
              <w:jc w:val="center"/>
              <w:rPr>
                <w:rFonts w:hint="eastAsia" w:hAnsiTheme="minorEastAsia" w:eastAsiaTheme="minorEastAsia"/>
                <w:szCs w:val="21"/>
                <w:lang w:val="en-US" w:eastAsia="zh-CN"/>
              </w:rPr>
            </w:pPr>
            <w:r>
              <w:rPr>
                <w:rFonts w:hint="eastAsia" w:hAnsiTheme="minorEastAsia" w:eastAsiaTheme="minorEastAsia"/>
                <w:szCs w:val="21"/>
                <w:lang w:val="en-US" w:eastAsia="zh-CN"/>
              </w:rPr>
              <w:t>套</w:t>
            </w:r>
          </w:p>
        </w:tc>
        <w:tc>
          <w:tcPr>
            <w:tcW w:w="855" w:type="dxa"/>
            <w:shd w:val="clear" w:color="auto" w:fill="auto"/>
            <w:vAlign w:val="center"/>
          </w:tcPr>
          <w:p>
            <w:pPr>
              <w:spacing w:before="156" w:beforeLines="50" w:after="156" w:afterLines="50"/>
              <w:jc w:val="center"/>
              <w:rPr>
                <w:rFonts w:hint="eastAsia" w:hAnsiTheme="minorEastAsia" w:eastAsiaTheme="minorEastAsia"/>
                <w:szCs w:val="21"/>
                <w:lang w:val="en-US" w:eastAsia="zh-CN"/>
              </w:rPr>
            </w:pPr>
            <w:r>
              <w:rPr>
                <w:rFonts w:hint="eastAsia" w:hAnsiTheme="minorEastAsia" w:eastAsiaTheme="minorEastAsia"/>
                <w:szCs w:val="21"/>
                <w:lang w:val="en-US" w:eastAsia="zh-CN"/>
              </w:rPr>
              <w:t>1</w:t>
            </w:r>
          </w:p>
        </w:tc>
        <w:tc>
          <w:tcPr>
            <w:tcW w:w="2382" w:type="dxa"/>
            <w:shd w:val="clear" w:color="auto" w:fill="auto"/>
            <w:vAlign w:val="center"/>
          </w:tcPr>
          <w:p>
            <w:pPr>
              <w:spacing w:before="156" w:beforeLines="50" w:after="156" w:afterLines="50"/>
              <w:jc w:val="center"/>
              <w:rPr>
                <w:rFonts w:hint="default" w:ascii="Times New Roman" w:hAnsi="Times New Roman" w:eastAsia="宋体" w:cs="Times New Roman"/>
                <w:sz w:val="21"/>
                <w:szCs w:val="21"/>
                <w:lang w:val="en-US" w:eastAsia="zh-CN"/>
              </w:rPr>
            </w:pPr>
            <w:r>
              <w:rPr>
                <w:rFonts w:hint="eastAsia" w:hAnsiTheme="minorEastAsia" w:eastAsiaTheme="minorEastAsia"/>
                <w:szCs w:val="21"/>
                <w:lang w:val="en-US" w:eastAsia="zh-CN"/>
              </w:rPr>
              <w:t>完全兼容现有情报板软件，备用。（备件不用安装）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652" w:type="dxa"/>
            <w:shd w:val="clear" w:color="auto" w:fill="auto"/>
            <w:vAlign w:val="center"/>
          </w:tcPr>
          <w:p>
            <w:pPr>
              <w:spacing w:before="156" w:beforeLines="50" w:after="156" w:afterLines="50"/>
              <w:jc w:val="center"/>
              <w:rPr>
                <w:rFonts w:hint="eastAsia" w:hAnsiTheme="minorEastAsia" w:eastAsiaTheme="minorEastAsia"/>
                <w:szCs w:val="21"/>
                <w:lang w:val="en-US" w:eastAsia="zh-CN"/>
              </w:rPr>
            </w:pPr>
            <w:r>
              <w:rPr>
                <w:rFonts w:hint="eastAsia" w:hAnsiTheme="minorEastAsia" w:eastAsiaTheme="minorEastAsia"/>
                <w:szCs w:val="21"/>
                <w:lang w:val="en-US" w:eastAsia="zh-CN"/>
              </w:rPr>
              <w:t>3</w:t>
            </w:r>
          </w:p>
        </w:tc>
        <w:tc>
          <w:tcPr>
            <w:tcW w:w="2115" w:type="dxa"/>
            <w:shd w:val="clear" w:color="auto" w:fill="auto"/>
            <w:vAlign w:val="center"/>
          </w:tcPr>
          <w:p>
            <w:pPr>
              <w:spacing w:before="156" w:beforeLines="50" w:after="156" w:afterLines="50"/>
              <w:jc w:val="center"/>
              <w:rPr>
                <w:rFonts w:hint="eastAsia" w:hAnsiTheme="minorEastAsia" w:eastAsiaTheme="minorEastAsia"/>
                <w:szCs w:val="21"/>
                <w:lang w:eastAsia="zh-CN"/>
              </w:rPr>
            </w:pPr>
            <w:r>
              <w:rPr>
                <w:rFonts w:hint="eastAsia" w:hAnsiTheme="minorEastAsia" w:eastAsiaTheme="minorEastAsia"/>
                <w:szCs w:val="21"/>
                <w:lang w:val="en-US" w:eastAsia="zh-CN"/>
              </w:rPr>
              <w:t>门架式情报板防雷器</w:t>
            </w:r>
          </w:p>
        </w:tc>
        <w:tc>
          <w:tcPr>
            <w:tcW w:w="1470" w:type="dxa"/>
            <w:shd w:val="clear" w:color="auto" w:fill="auto"/>
            <w:vAlign w:val="center"/>
          </w:tcPr>
          <w:p>
            <w:pPr>
              <w:spacing w:before="156" w:beforeLines="50" w:after="156" w:afterLines="50"/>
              <w:jc w:val="center"/>
              <w:rPr>
                <w:rFonts w:hint="default" w:ascii="Times New Roman" w:hAnsi="Times New Roman" w:eastAsia="宋体" w:cs="Times New Roman"/>
                <w:sz w:val="21"/>
                <w:szCs w:val="21"/>
                <w:lang w:val="en-US" w:eastAsia="zh-CN"/>
              </w:rPr>
            </w:pPr>
          </w:p>
        </w:tc>
        <w:tc>
          <w:tcPr>
            <w:tcW w:w="855" w:type="dxa"/>
            <w:shd w:val="clear" w:color="auto" w:fill="auto"/>
            <w:vAlign w:val="center"/>
          </w:tcPr>
          <w:p>
            <w:pPr>
              <w:spacing w:before="156" w:beforeLines="50" w:after="156" w:afterLines="50"/>
              <w:jc w:val="center"/>
              <w:rPr>
                <w:rFonts w:hint="eastAsia" w:hAnsiTheme="minorEastAsia" w:eastAsiaTheme="minorEastAsia"/>
                <w:szCs w:val="21"/>
                <w:lang w:eastAsia="zh-CN"/>
              </w:rPr>
            </w:pPr>
            <w:r>
              <w:rPr>
                <w:rFonts w:hint="eastAsia" w:hAnsiTheme="minorEastAsia" w:eastAsiaTheme="minorEastAsia"/>
                <w:szCs w:val="21"/>
                <w:lang w:val="en-US" w:eastAsia="zh-CN"/>
              </w:rPr>
              <w:t>套</w:t>
            </w:r>
          </w:p>
        </w:tc>
        <w:tc>
          <w:tcPr>
            <w:tcW w:w="855" w:type="dxa"/>
            <w:shd w:val="clear" w:color="auto" w:fill="auto"/>
            <w:vAlign w:val="center"/>
          </w:tcPr>
          <w:p>
            <w:pPr>
              <w:spacing w:before="156" w:beforeLines="50" w:after="156" w:afterLines="50"/>
              <w:jc w:val="center"/>
              <w:rPr>
                <w:rFonts w:hint="eastAsia" w:hAnsiTheme="minorEastAsia" w:eastAsiaTheme="minorEastAsia"/>
                <w:szCs w:val="21"/>
                <w:lang w:val="en-US" w:eastAsia="zh-CN"/>
              </w:rPr>
            </w:pPr>
            <w:r>
              <w:rPr>
                <w:rFonts w:hint="eastAsia" w:hAnsiTheme="minorEastAsia" w:eastAsiaTheme="minorEastAsia"/>
                <w:szCs w:val="21"/>
                <w:lang w:val="en-US" w:eastAsia="zh-CN"/>
              </w:rPr>
              <w:t>1</w:t>
            </w:r>
          </w:p>
        </w:tc>
        <w:tc>
          <w:tcPr>
            <w:tcW w:w="2382" w:type="dxa"/>
            <w:shd w:val="clear" w:color="auto" w:fill="auto"/>
            <w:vAlign w:val="center"/>
          </w:tcPr>
          <w:p>
            <w:pPr>
              <w:spacing w:before="156" w:beforeLines="50" w:after="156" w:afterLines="50"/>
              <w:jc w:val="center"/>
              <w:rPr>
                <w:rFonts w:hint="eastAsia" w:hAnsiTheme="minorEastAsia" w:eastAsiaTheme="minorEastAsia"/>
                <w:szCs w:val="21"/>
                <w:lang w:eastAsia="zh-CN"/>
              </w:rPr>
            </w:pPr>
            <w:r>
              <w:rPr>
                <w:rFonts w:hint="eastAsia" w:hAnsiTheme="minorEastAsia" w:eastAsiaTheme="minorEastAsia"/>
                <w:szCs w:val="21"/>
                <w:lang w:val="en-US" w:eastAsia="zh-CN"/>
              </w:rPr>
              <w:t>备用。（备件不用安装）</w:t>
            </w: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numPr>
          <w:ilvl w:val="0"/>
          <w:numId w:val="4"/>
        </w:num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包括</w:t>
      </w:r>
      <w:r>
        <w:rPr>
          <w:rFonts w:hint="eastAsia" w:cs="Times New Roman"/>
          <w:bCs/>
          <w:snapToGrid w:val="0"/>
          <w:kern w:val="0"/>
          <w:sz w:val="24"/>
          <w:szCs w:val="24"/>
          <w:lang w:val="en-US" w:eastAsia="zh-CN"/>
        </w:rPr>
        <w:t>安装</w:t>
      </w:r>
      <w:r>
        <w:rPr>
          <w:rFonts w:hint="default" w:ascii="Times New Roman" w:hAnsi="Times New Roman" w:eastAsia="宋体" w:cs="Times New Roman"/>
          <w:bCs/>
          <w:snapToGrid w:val="0"/>
          <w:kern w:val="0"/>
          <w:sz w:val="24"/>
          <w:szCs w:val="24"/>
        </w:rPr>
        <w:t>运输</w:t>
      </w:r>
      <w:r>
        <w:rPr>
          <w:rFonts w:hint="eastAsia" w:cs="Times New Roman"/>
          <w:bCs/>
          <w:snapToGrid w:val="0"/>
          <w:kern w:val="0"/>
          <w:sz w:val="24"/>
          <w:szCs w:val="24"/>
          <w:lang w:val="en-US" w:eastAsia="zh-CN"/>
        </w:rPr>
        <w:t>费</w:t>
      </w:r>
      <w:r>
        <w:rPr>
          <w:rFonts w:hint="default" w:ascii="Times New Roman" w:hAnsi="Times New Roman" w:eastAsia="宋体" w:cs="Times New Roman"/>
          <w:bCs/>
          <w:snapToGrid w:val="0"/>
          <w:kern w:val="0"/>
          <w:sz w:val="24"/>
          <w:szCs w:val="24"/>
        </w:rPr>
        <w:t>、保险费、税费、试运行及缺陷的维护等一切费用；</w:t>
      </w:r>
    </w:p>
    <w:p>
      <w:pPr>
        <w:pStyle w:val="8"/>
        <w:numPr>
          <w:ilvl w:val="0"/>
          <w:numId w:val="4"/>
        </w:numPr>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209500.0</w:t>
      </w:r>
      <w:r>
        <w:rPr>
          <w:rFonts w:hint="default" w:ascii="Times New Roman" w:hAnsi="Times New Roman" w:eastAsia="宋体" w:cs="Times New Roman"/>
          <w:bCs/>
          <w:snapToGrid w:val="0"/>
          <w:kern w:val="0"/>
          <w:sz w:val="24"/>
          <w:szCs w:val="24"/>
          <w:lang w:val="en-US" w:eastAsia="zh-CN"/>
        </w:rPr>
        <w:t>0</w:t>
      </w:r>
      <w:r>
        <w:rPr>
          <w:rFonts w:hint="default" w:ascii="Times New Roman" w:hAnsi="Times New Roman" w:eastAsia="宋体" w:cs="Times New Roman"/>
          <w:bCs/>
          <w:snapToGrid w:val="0"/>
          <w:kern w:val="0"/>
          <w:sz w:val="24"/>
          <w:szCs w:val="24"/>
        </w:rPr>
        <w:t>元。</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供应商资格条件</w:t>
      </w:r>
    </w:p>
    <w:p>
      <w:pPr>
        <w:pStyle w:val="8"/>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pStyle w:val="8"/>
        <w:numPr>
          <w:ilvl w:val="0"/>
          <w:numId w:val="3"/>
        </w:numPr>
        <w:ind w:left="0" w:leftChars="0" w:firstLine="0" w:firstLineChars="0"/>
        <w:rPr>
          <w:rFonts w:hint="eastAsia" w:ascii="Times New Roman" w:hAnsi="Times New Roman" w:eastAsia="宋体" w:cs="Times New Roman"/>
          <w:b/>
          <w:snapToGrid w:val="0"/>
          <w:kern w:val="0"/>
          <w:sz w:val="24"/>
          <w:szCs w:val="24"/>
          <w:lang w:val="en-US" w:eastAsia="zh-CN" w:bidi="ar-SA"/>
        </w:rPr>
      </w:pPr>
      <w:r>
        <w:rPr>
          <w:rFonts w:hint="eastAsia" w:ascii="Times New Roman" w:hAnsi="Times New Roman" w:eastAsia="宋体" w:cs="Times New Roman"/>
          <w:b/>
          <w:snapToGrid w:val="0"/>
          <w:kern w:val="0"/>
          <w:sz w:val="24"/>
          <w:szCs w:val="24"/>
          <w:lang w:val="en-US" w:eastAsia="zh-CN" w:bidi="ar-SA"/>
        </w:rPr>
        <w:t>技术参数</w:t>
      </w:r>
    </w:p>
    <w:p>
      <w:pPr>
        <w:pStyle w:val="21"/>
        <w:numPr>
          <w:ilvl w:val="0"/>
          <w:numId w:val="5"/>
        </w:numPr>
        <w:spacing w:line="360" w:lineRule="auto"/>
        <w:ind w:left="0" w:firstLine="426" w:firstLineChars="0"/>
        <w:rPr>
          <w:rFonts w:hint="eastAsia" w:ascii="宋体" w:hAnsi="宋体" w:eastAsia="宋体" w:cs="宋体"/>
          <w:sz w:val="24"/>
          <w:szCs w:val="24"/>
        </w:rPr>
      </w:pPr>
      <w:r>
        <w:rPr>
          <w:rFonts w:hint="eastAsia" w:ascii="宋体" w:hAnsi="宋体" w:eastAsia="宋体" w:cs="宋体"/>
          <w:sz w:val="24"/>
          <w:szCs w:val="24"/>
        </w:rPr>
        <w:t>可变情报板应具备国家强制性产品认证证书以及交通工程产品工厂检验合格证书。（提供证书复印件，二者缺一不可）</w:t>
      </w:r>
    </w:p>
    <w:p>
      <w:pPr>
        <w:pStyle w:val="21"/>
        <w:numPr>
          <w:ilvl w:val="0"/>
          <w:numId w:val="5"/>
        </w:numPr>
        <w:spacing w:line="360" w:lineRule="auto"/>
        <w:ind w:left="0" w:firstLine="426" w:firstLineChars="0"/>
        <w:rPr>
          <w:rFonts w:hint="eastAsia" w:ascii="宋体" w:hAnsi="宋体" w:eastAsia="宋体" w:cs="宋体"/>
          <w:sz w:val="24"/>
          <w:szCs w:val="24"/>
        </w:rPr>
      </w:pPr>
      <w:r>
        <w:rPr>
          <w:rFonts w:hint="eastAsia" w:ascii="宋体" w:hAnsi="宋体" w:eastAsia="宋体" w:cs="宋体"/>
          <w:sz w:val="24"/>
          <w:szCs w:val="24"/>
        </w:rPr>
        <w:t>可变情报板根据气象、交通、道路实际情况实时显示各种信息。可显示16×16，24×24，32×32等各种不同大小的汉字，也可显示16×8，24×12，32×16等大小的英文字母、数字及简易图形。可以显示编辑好的文字和简单图形、动画等，字符清楚、容易识别、符合国标</w:t>
      </w:r>
    </w:p>
    <w:p>
      <w:pPr>
        <w:pStyle w:val="21"/>
        <w:numPr>
          <w:ilvl w:val="0"/>
          <w:numId w:val="5"/>
        </w:numPr>
        <w:spacing w:line="360" w:lineRule="auto"/>
        <w:ind w:left="0" w:firstLine="426" w:firstLineChars="0"/>
        <w:rPr>
          <w:rFonts w:hint="eastAsia" w:ascii="宋体" w:hAnsi="宋体" w:eastAsia="宋体" w:cs="宋体"/>
          <w:sz w:val="24"/>
          <w:szCs w:val="24"/>
        </w:rPr>
      </w:pPr>
      <w:r>
        <w:rPr>
          <w:rFonts w:hint="eastAsia" w:ascii="宋体" w:hAnsi="宋体" w:eastAsia="宋体" w:cs="宋体"/>
          <w:sz w:val="24"/>
          <w:szCs w:val="24"/>
        </w:rPr>
        <w:t>可变情报板的静态视认距离≥250m（提供检测报告复印件）</w:t>
      </w:r>
    </w:p>
    <w:p>
      <w:pPr>
        <w:pStyle w:val="21"/>
        <w:numPr>
          <w:ilvl w:val="0"/>
          <w:numId w:val="5"/>
        </w:numPr>
        <w:spacing w:line="360" w:lineRule="auto"/>
        <w:ind w:left="0" w:firstLine="426" w:firstLineChars="0"/>
        <w:rPr>
          <w:rFonts w:hint="eastAsia" w:ascii="宋体" w:hAnsi="宋体" w:eastAsia="宋体" w:cs="宋体"/>
          <w:sz w:val="24"/>
          <w:szCs w:val="24"/>
        </w:rPr>
      </w:pPr>
      <w:r>
        <w:rPr>
          <w:rFonts w:hint="eastAsia" w:ascii="宋体" w:hAnsi="宋体" w:eastAsia="宋体" w:cs="宋体"/>
          <w:sz w:val="24"/>
          <w:szCs w:val="24"/>
        </w:rPr>
        <w:t>在电源故障、无显示内容时，可变情报板为全黑，无任何亮点，并将故障和报警信息传送到监控分中心。</w:t>
      </w:r>
    </w:p>
    <w:p>
      <w:pPr>
        <w:pStyle w:val="21"/>
        <w:numPr>
          <w:ilvl w:val="0"/>
          <w:numId w:val="5"/>
        </w:numPr>
        <w:spacing w:line="360" w:lineRule="auto"/>
        <w:ind w:left="0" w:firstLine="426" w:firstLineChars="0"/>
        <w:rPr>
          <w:rFonts w:hint="eastAsia" w:ascii="宋体" w:hAnsi="宋体" w:eastAsia="宋体" w:cs="宋体"/>
          <w:sz w:val="24"/>
          <w:szCs w:val="24"/>
        </w:rPr>
      </w:pPr>
      <w:r>
        <w:rPr>
          <w:rFonts w:hint="eastAsia" w:ascii="宋体" w:hAnsi="宋体" w:eastAsia="宋体" w:cs="宋体"/>
          <w:sz w:val="24"/>
          <w:szCs w:val="24"/>
        </w:rPr>
        <w:t>出字方式：立显、清屏（全黑）、静止显示、左移、右移、闪烁等。</w:t>
      </w:r>
    </w:p>
    <w:p>
      <w:pPr>
        <w:pStyle w:val="21"/>
        <w:numPr>
          <w:ilvl w:val="0"/>
          <w:numId w:val="5"/>
        </w:numPr>
        <w:spacing w:line="360" w:lineRule="auto"/>
        <w:ind w:left="0" w:firstLine="426" w:firstLineChars="0"/>
        <w:rPr>
          <w:rFonts w:hint="eastAsia" w:ascii="宋体" w:hAnsi="宋体" w:eastAsia="宋体" w:cs="宋体"/>
          <w:sz w:val="24"/>
          <w:szCs w:val="24"/>
        </w:rPr>
      </w:pPr>
      <w:r>
        <w:rPr>
          <w:rFonts w:hint="eastAsia" w:ascii="宋体" w:hAnsi="宋体" w:eastAsia="宋体" w:cs="宋体"/>
          <w:sz w:val="24"/>
          <w:szCs w:val="24"/>
        </w:rPr>
        <w:t>可变情报板显示图形时应无拖尾、闪烁及滚动现象。</w:t>
      </w:r>
    </w:p>
    <w:p>
      <w:pPr>
        <w:pStyle w:val="21"/>
        <w:numPr>
          <w:ilvl w:val="0"/>
          <w:numId w:val="5"/>
        </w:numPr>
        <w:spacing w:line="360" w:lineRule="auto"/>
        <w:ind w:left="0" w:firstLine="426" w:firstLineChars="0"/>
        <w:rPr>
          <w:rFonts w:hint="eastAsia" w:ascii="宋体" w:hAnsi="宋体" w:eastAsia="宋体" w:cs="宋体"/>
          <w:sz w:val="24"/>
          <w:szCs w:val="24"/>
        </w:rPr>
      </w:pPr>
      <w:r>
        <w:rPr>
          <w:rFonts w:hint="eastAsia" w:ascii="宋体" w:hAnsi="宋体" w:eastAsia="宋体" w:cs="宋体"/>
          <w:sz w:val="24"/>
          <w:szCs w:val="24"/>
        </w:rPr>
        <w:t>可变情报板各发光像素发光应均匀，无马赛克现象。</w:t>
      </w:r>
    </w:p>
    <w:p>
      <w:pPr>
        <w:pStyle w:val="21"/>
        <w:numPr>
          <w:ilvl w:val="0"/>
          <w:numId w:val="5"/>
        </w:numPr>
        <w:spacing w:line="360" w:lineRule="auto"/>
        <w:ind w:left="0" w:firstLine="426" w:firstLineChars="0"/>
        <w:rPr>
          <w:rFonts w:hint="eastAsia" w:ascii="宋体" w:hAnsi="宋体" w:eastAsia="宋体" w:cs="宋体"/>
          <w:sz w:val="24"/>
          <w:szCs w:val="24"/>
        </w:rPr>
      </w:pPr>
      <w:r>
        <w:rPr>
          <w:rFonts w:hint="eastAsia" w:ascii="宋体" w:hAnsi="宋体" w:eastAsia="宋体" w:cs="宋体"/>
          <w:sz w:val="24"/>
          <w:szCs w:val="24"/>
        </w:rPr>
        <w:t>可变情报板可接受监控中心计算机发出的显示指令并给出回应信号，确认发出的信息是否精确、有效；是否如实显示成功；支持中心进行全屏编辑。</w:t>
      </w:r>
    </w:p>
    <w:p>
      <w:pPr>
        <w:pStyle w:val="21"/>
        <w:numPr>
          <w:ilvl w:val="0"/>
          <w:numId w:val="5"/>
        </w:numPr>
        <w:spacing w:line="360" w:lineRule="auto"/>
        <w:ind w:left="0" w:firstLine="426" w:firstLineChars="0"/>
        <w:rPr>
          <w:rFonts w:hint="eastAsia" w:ascii="宋体" w:hAnsi="宋体" w:eastAsia="宋体" w:cs="宋体"/>
          <w:sz w:val="24"/>
          <w:szCs w:val="24"/>
        </w:rPr>
      </w:pPr>
      <w:r>
        <w:rPr>
          <w:rFonts w:hint="eastAsia" w:ascii="宋体" w:hAnsi="宋体" w:eastAsia="宋体" w:cs="宋体"/>
          <w:sz w:val="24"/>
          <w:szCs w:val="24"/>
        </w:rPr>
        <w:t>可变情报板可向监控中心计算机系统反馈本机工作状态及显示内容的反馈信息，监控中心可检测到每个像素的好坏，同时在控制器面板上有相应的指示灯显示有关信息。</w:t>
      </w:r>
    </w:p>
    <w:p>
      <w:pPr>
        <w:pStyle w:val="21"/>
        <w:numPr>
          <w:ilvl w:val="0"/>
          <w:numId w:val="5"/>
        </w:numPr>
        <w:tabs>
          <w:tab w:val="left" w:pos="993"/>
        </w:tabs>
        <w:spacing w:line="360" w:lineRule="auto"/>
        <w:ind w:left="0" w:firstLine="426" w:firstLineChars="0"/>
        <w:rPr>
          <w:rFonts w:hint="eastAsia" w:ascii="宋体" w:hAnsi="宋体" w:eastAsia="宋体" w:cs="宋体"/>
          <w:sz w:val="24"/>
          <w:szCs w:val="24"/>
        </w:rPr>
      </w:pPr>
      <w:r>
        <w:rPr>
          <w:rFonts w:hint="eastAsia" w:ascii="宋体" w:hAnsi="宋体" w:eastAsia="宋体" w:cs="宋体"/>
          <w:sz w:val="24"/>
          <w:szCs w:val="24"/>
        </w:rPr>
        <w:t>可变情报板可将显示内容预先存储到控制器上，可存储100条以上的固定信息，在通信中断等情况下，诱导系统能根据本地存储的内容进行显示。</w:t>
      </w:r>
    </w:p>
    <w:p>
      <w:pPr>
        <w:pStyle w:val="21"/>
        <w:numPr>
          <w:ilvl w:val="0"/>
          <w:numId w:val="5"/>
        </w:numPr>
        <w:tabs>
          <w:tab w:val="left" w:pos="993"/>
        </w:tabs>
        <w:spacing w:line="360" w:lineRule="auto"/>
        <w:ind w:left="0" w:firstLine="426" w:firstLineChars="0"/>
        <w:rPr>
          <w:rFonts w:hint="eastAsia" w:ascii="宋体" w:hAnsi="宋体" w:eastAsia="宋体" w:cs="宋体"/>
          <w:sz w:val="24"/>
          <w:szCs w:val="24"/>
        </w:rPr>
      </w:pPr>
      <w:r>
        <w:rPr>
          <w:rFonts w:hint="eastAsia" w:ascii="宋体" w:hAnsi="宋体" w:eastAsia="宋体" w:cs="宋体"/>
          <w:sz w:val="24"/>
          <w:szCs w:val="24"/>
        </w:rPr>
        <w:t>可变情报板能够接受监控中心发来的轮询指令，可向监控中心返回LED显示屏实际显示内容的确认信息和工作状态信息（包括每个像素管、开关电源、箱体内的温度、箱体后背门的开与关、驱动板器件的状态等LED显示屏信息）。</w:t>
      </w:r>
    </w:p>
    <w:p>
      <w:pPr>
        <w:pStyle w:val="21"/>
        <w:numPr>
          <w:ilvl w:val="0"/>
          <w:numId w:val="5"/>
        </w:numPr>
        <w:tabs>
          <w:tab w:val="left" w:pos="993"/>
        </w:tabs>
        <w:spacing w:line="360" w:lineRule="auto"/>
        <w:ind w:left="0" w:firstLine="426" w:firstLineChars="0"/>
        <w:rPr>
          <w:rFonts w:hint="eastAsia" w:ascii="宋体" w:hAnsi="宋体" w:eastAsia="宋体" w:cs="宋体"/>
          <w:sz w:val="24"/>
          <w:szCs w:val="24"/>
        </w:rPr>
      </w:pPr>
      <w:r>
        <w:rPr>
          <w:rFonts w:hint="eastAsia" w:ascii="宋体" w:hAnsi="宋体" w:eastAsia="宋体" w:cs="宋体"/>
          <w:sz w:val="24"/>
          <w:szCs w:val="24"/>
        </w:rPr>
        <w:t>可变情报板采用静态恒流驱动，具有过流保护功能。模块发生电源故障时或模块中LED失控率达到一定程度或当显示屏内温度超过设定值时，均可全屏自动关机。在以上情况下，须同时向监控中心返回相应的故障信息。</w:t>
      </w:r>
    </w:p>
    <w:p>
      <w:pPr>
        <w:pStyle w:val="21"/>
        <w:numPr>
          <w:ilvl w:val="0"/>
          <w:numId w:val="5"/>
        </w:numPr>
        <w:tabs>
          <w:tab w:val="left" w:pos="993"/>
        </w:tabs>
        <w:spacing w:line="360" w:lineRule="auto"/>
        <w:ind w:left="0" w:firstLine="426" w:firstLineChars="0"/>
        <w:rPr>
          <w:rFonts w:hint="eastAsia" w:ascii="宋体" w:hAnsi="宋体" w:eastAsia="宋体" w:cs="宋体"/>
          <w:sz w:val="24"/>
          <w:szCs w:val="24"/>
        </w:rPr>
      </w:pPr>
      <w:r>
        <w:rPr>
          <w:rFonts w:hint="eastAsia" w:ascii="宋体" w:hAnsi="宋体" w:eastAsia="宋体" w:cs="宋体"/>
          <w:sz w:val="24"/>
          <w:szCs w:val="24"/>
        </w:rPr>
        <w:t>可变情报板设有避雷装置，保证设备不受雷电损坏。</w:t>
      </w:r>
    </w:p>
    <w:p>
      <w:pPr>
        <w:pStyle w:val="21"/>
        <w:numPr>
          <w:ilvl w:val="0"/>
          <w:numId w:val="5"/>
        </w:numPr>
        <w:tabs>
          <w:tab w:val="left" w:pos="993"/>
        </w:tabs>
        <w:spacing w:line="360" w:lineRule="auto"/>
        <w:ind w:left="0" w:firstLine="426" w:firstLineChars="0"/>
        <w:rPr>
          <w:rFonts w:hint="eastAsia" w:ascii="宋体" w:hAnsi="宋体" w:eastAsia="宋体" w:cs="宋体"/>
          <w:sz w:val="24"/>
          <w:szCs w:val="24"/>
        </w:rPr>
      </w:pPr>
      <w:r>
        <w:rPr>
          <w:rFonts w:hint="eastAsia" w:ascii="宋体" w:hAnsi="宋体" w:eastAsia="宋体" w:cs="宋体"/>
          <w:sz w:val="24"/>
          <w:szCs w:val="24"/>
        </w:rPr>
        <w:t>可变情报板箱体为双层机箱，箱体材料为冷轧钢板，采用特殊防锈处理，不反光，防眩光，为全封闭、全天候、防风雨型，防护等级不低于IP65。</w:t>
      </w:r>
    </w:p>
    <w:p>
      <w:pPr>
        <w:pStyle w:val="21"/>
        <w:numPr>
          <w:ilvl w:val="0"/>
          <w:numId w:val="5"/>
        </w:numPr>
        <w:tabs>
          <w:tab w:val="left" w:pos="993"/>
        </w:tabs>
        <w:spacing w:line="360" w:lineRule="auto"/>
        <w:ind w:left="0" w:firstLine="426" w:firstLineChars="0"/>
        <w:rPr>
          <w:rFonts w:hint="eastAsia" w:ascii="宋体" w:hAnsi="宋体" w:eastAsia="宋体" w:cs="宋体"/>
          <w:sz w:val="24"/>
          <w:szCs w:val="24"/>
        </w:rPr>
      </w:pPr>
      <w:r>
        <w:rPr>
          <w:rFonts w:hint="eastAsia" w:ascii="宋体" w:hAnsi="宋体" w:eastAsia="宋体" w:cs="宋体"/>
          <w:sz w:val="24"/>
          <w:szCs w:val="24"/>
        </w:rPr>
        <w:t>显示板每平米亮度≥10000cd;</w:t>
      </w:r>
    </w:p>
    <w:p>
      <w:pPr>
        <w:pStyle w:val="21"/>
        <w:numPr>
          <w:ilvl w:val="0"/>
          <w:numId w:val="5"/>
        </w:numPr>
        <w:tabs>
          <w:tab w:val="left" w:pos="993"/>
        </w:tabs>
        <w:spacing w:line="360" w:lineRule="auto"/>
        <w:ind w:left="0" w:firstLine="426" w:firstLineChars="0"/>
        <w:rPr>
          <w:rFonts w:hint="eastAsia" w:ascii="宋体" w:hAnsi="宋体" w:eastAsia="宋体" w:cs="宋体"/>
          <w:sz w:val="24"/>
          <w:szCs w:val="24"/>
        </w:rPr>
      </w:pPr>
      <w:r>
        <w:rPr>
          <w:rFonts w:hint="eastAsia" w:ascii="宋体" w:hAnsi="宋体" w:eastAsia="宋体" w:cs="宋体"/>
          <w:sz w:val="24"/>
          <w:szCs w:val="24"/>
        </w:rPr>
        <w:t>视认角≥30°；</w:t>
      </w:r>
    </w:p>
    <w:p>
      <w:pPr>
        <w:pStyle w:val="21"/>
        <w:numPr>
          <w:ilvl w:val="0"/>
          <w:numId w:val="5"/>
        </w:numPr>
        <w:tabs>
          <w:tab w:val="left" w:pos="993"/>
        </w:tabs>
        <w:spacing w:line="360" w:lineRule="auto"/>
        <w:ind w:left="0" w:firstLine="426" w:firstLineChars="0"/>
        <w:rPr>
          <w:rFonts w:hint="eastAsia" w:ascii="宋体" w:hAnsi="宋体" w:eastAsia="宋体" w:cs="宋体"/>
          <w:sz w:val="24"/>
          <w:szCs w:val="24"/>
        </w:rPr>
      </w:pPr>
      <w:r>
        <w:rPr>
          <w:rFonts w:hint="eastAsia" w:ascii="宋体" w:hAnsi="宋体" w:eastAsia="宋体" w:cs="宋体"/>
          <w:sz w:val="24"/>
          <w:szCs w:val="24"/>
        </w:rPr>
        <w:t>抗风速∶30m/s；</w:t>
      </w:r>
    </w:p>
    <w:p>
      <w:pPr>
        <w:pStyle w:val="21"/>
        <w:numPr>
          <w:ilvl w:val="0"/>
          <w:numId w:val="5"/>
        </w:numPr>
        <w:tabs>
          <w:tab w:val="left" w:pos="993"/>
        </w:tabs>
        <w:spacing w:line="360" w:lineRule="auto"/>
        <w:ind w:left="0" w:firstLine="426" w:firstLineChars="0"/>
        <w:rPr>
          <w:rFonts w:hint="eastAsia" w:ascii="宋体" w:hAnsi="宋体" w:eastAsia="宋体" w:cs="宋体"/>
          <w:sz w:val="24"/>
          <w:szCs w:val="24"/>
        </w:rPr>
      </w:pPr>
      <w:r>
        <w:rPr>
          <w:rFonts w:hint="eastAsia" w:ascii="宋体" w:hAnsi="宋体" w:eastAsia="宋体" w:cs="宋体"/>
          <w:sz w:val="24"/>
          <w:szCs w:val="24"/>
        </w:rPr>
        <w:t>刷新频率≥100Hz；</w:t>
      </w:r>
    </w:p>
    <w:p>
      <w:pPr>
        <w:pStyle w:val="21"/>
        <w:numPr>
          <w:ilvl w:val="0"/>
          <w:numId w:val="5"/>
        </w:numPr>
        <w:tabs>
          <w:tab w:val="left" w:pos="993"/>
        </w:tabs>
        <w:spacing w:line="360" w:lineRule="auto"/>
        <w:ind w:left="0" w:firstLine="426" w:firstLineChars="0"/>
        <w:rPr>
          <w:rFonts w:hint="eastAsia" w:ascii="宋体" w:hAnsi="宋体" w:eastAsia="宋体" w:cs="宋体"/>
          <w:sz w:val="24"/>
          <w:szCs w:val="24"/>
        </w:rPr>
      </w:pPr>
      <w:r>
        <w:rPr>
          <w:rFonts w:hint="eastAsia" w:ascii="宋体" w:hAnsi="宋体" w:eastAsia="宋体" w:cs="宋体"/>
          <w:sz w:val="24"/>
          <w:szCs w:val="24"/>
        </w:rPr>
        <w:t>绝缘电阻≥100MΩ</w:t>
      </w:r>
    </w:p>
    <w:p>
      <w:pPr>
        <w:pStyle w:val="21"/>
        <w:numPr>
          <w:ilvl w:val="0"/>
          <w:numId w:val="5"/>
        </w:numPr>
        <w:tabs>
          <w:tab w:val="left" w:pos="993"/>
        </w:tabs>
        <w:spacing w:line="360" w:lineRule="auto"/>
        <w:ind w:left="0" w:firstLine="426" w:firstLineChars="0"/>
        <w:rPr>
          <w:rFonts w:hint="eastAsia" w:ascii="宋体" w:hAnsi="宋体" w:eastAsia="宋体" w:cs="宋体"/>
          <w:sz w:val="24"/>
          <w:szCs w:val="24"/>
        </w:rPr>
      </w:pPr>
      <w:r>
        <w:rPr>
          <w:rFonts w:hint="eastAsia" w:ascii="宋体" w:hAnsi="宋体" w:eastAsia="宋体" w:cs="宋体"/>
          <w:sz w:val="24"/>
          <w:szCs w:val="24"/>
        </w:rPr>
        <w:t>平均无故障时间∶10000小时;</w:t>
      </w:r>
    </w:p>
    <w:p>
      <w:pPr>
        <w:pStyle w:val="21"/>
        <w:numPr>
          <w:ilvl w:val="0"/>
          <w:numId w:val="5"/>
        </w:numPr>
        <w:tabs>
          <w:tab w:val="left" w:pos="993"/>
        </w:tabs>
        <w:spacing w:line="360" w:lineRule="auto"/>
        <w:ind w:left="0" w:firstLine="426" w:firstLineChars="0"/>
        <w:rPr>
          <w:rFonts w:hint="eastAsia" w:ascii="宋体" w:hAnsi="宋体" w:eastAsia="宋体" w:cs="宋体"/>
          <w:sz w:val="24"/>
          <w:szCs w:val="24"/>
        </w:rPr>
      </w:pPr>
      <w:r>
        <w:rPr>
          <w:rFonts w:hint="eastAsia" w:ascii="宋体" w:hAnsi="宋体" w:eastAsia="宋体" w:cs="宋体"/>
          <w:sz w:val="24"/>
          <w:szCs w:val="24"/>
        </w:rPr>
        <w:t>使用寿命∶50000小时以上;</w:t>
      </w:r>
    </w:p>
    <w:p>
      <w:pPr>
        <w:pStyle w:val="21"/>
        <w:numPr>
          <w:ilvl w:val="0"/>
          <w:numId w:val="5"/>
        </w:numPr>
        <w:tabs>
          <w:tab w:val="left" w:pos="993"/>
        </w:tabs>
        <w:spacing w:line="360" w:lineRule="auto"/>
        <w:ind w:left="0" w:firstLine="426" w:firstLineChars="0"/>
        <w:rPr>
          <w:rFonts w:hint="eastAsia" w:ascii="宋体" w:hAnsi="宋体" w:eastAsia="宋体" w:cs="宋体"/>
          <w:sz w:val="24"/>
          <w:szCs w:val="24"/>
        </w:rPr>
      </w:pPr>
      <w:r>
        <w:rPr>
          <w:rFonts w:hint="eastAsia" w:ascii="宋体" w:hAnsi="宋体" w:eastAsia="宋体" w:cs="宋体"/>
          <w:sz w:val="24"/>
          <w:szCs w:val="24"/>
        </w:rPr>
        <w:t>通信方式：异步，全双工，以太网10M/100M速率，支持RJ45/RS232/RS422/RS485</w:t>
      </w:r>
    </w:p>
    <w:p>
      <w:pPr>
        <w:pStyle w:val="21"/>
        <w:numPr>
          <w:ilvl w:val="0"/>
          <w:numId w:val="5"/>
        </w:numPr>
        <w:tabs>
          <w:tab w:val="left" w:pos="993"/>
        </w:tabs>
        <w:spacing w:line="360" w:lineRule="auto"/>
        <w:ind w:left="0" w:firstLine="426" w:firstLineChars="0"/>
        <w:rPr>
          <w:rFonts w:hint="eastAsia" w:ascii="宋体" w:hAnsi="宋体" w:eastAsia="宋体" w:cs="宋体"/>
          <w:sz w:val="24"/>
          <w:szCs w:val="24"/>
        </w:rPr>
      </w:pPr>
      <w:r>
        <w:rPr>
          <w:rFonts w:hint="eastAsia" w:ascii="宋体" w:hAnsi="宋体" w:eastAsia="宋体" w:cs="宋体"/>
          <w:sz w:val="24"/>
          <w:szCs w:val="24"/>
        </w:rPr>
        <w:t>显示内容：至少显示GB2312指定的全部汉字和数字字符，并且能控制全亮与全灭</w:t>
      </w:r>
    </w:p>
    <w:p>
      <w:pPr>
        <w:pStyle w:val="21"/>
        <w:numPr>
          <w:ilvl w:val="0"/>
          <w:numId w:val="5"/>
        </w:numPr>
        <w:tabs>
          <w:tab w:val="left" w:pos="993"/>
        </w:tabs>
        <w:spacing w:line="360" w:lineRule="auto"/>
        <w:ind w:left="0" w:firstLine="426" w:firstLineChars="0"/>
        <w:rPr>
          <w:rFonts w:hint="eastAsia" w:ascii="宋体" w:hAnsi="宋体" w:eastAsia="宋体" w:cs="宋体"/>
          <w:sz w:val="24"/>
          <w:szCs w:val="24"/>
        </w:rPr>
      </w:pPr>
      <w:r>
        <w:rPr>
          <w:rFonts w:hint="eastAsia" w:ascii="宋体" w:hAnsi="宋体" w:eastAsia="宋体" w:cs="宋体"/>
          <w:sz w:val="24"/>
          <w:szCs w:val="24"/>
        </w:rPr>
        <w:t>手动功能：在脱离系统控制时，通过人工方式可控制显示内容</w:t>
      </w:r>
    </w:p>
    <w:p>
      <w:pPr>
        <w:pStyle w:val="21"/>
        <w:numPr>
          <w:ilvl w:val="0"/>
          <w:numId w:val="5"/>
        </w:numPr>
        <w:tabs>
          <w:tab w:val="left" w:pos="993"/>
        </w:tabs>
        <w:spacing w:line="360" w:lineRule="auto"/>
        <w:ind w:left="0" w:firstLine="426" w:firstLineChars="0"/>
        <w:rPr>
          <w:rFonts w:hint="eastAsia" w:ascii="宋体" w:hAnsi="宋体" w:eastAsia="宋体" w:cs="宋体"/>
          <w:sz w:val="24"/>
          <w:szCs w:val="24"/>
        </w:rPr>
      </w:pPr>
      <w:r>
        <w:rPr>
          <w:rFonts w:hint="eastAsia" w:ascii="宋体" w:hAnsi="宋体" w:eastAsia="宋体" w:cs="宋体"/>
          <w:sz w:val="24"/>
          <w:szCs w:val="24"/>
        </w:rPr>
        <w:t>自动功能：通过串行、网络接口能接受主控单元的控制，按命令显示</w:t>
      </w:r>
    </w:p>
    <w:p>
      <w:pPr>
        <w:pStyle w:val="21"/>
        <w:numPr>
          <w:ilvl w:val="0"/>
          <w:numId w:val="5"/>
        </w:numPr>
        <w:tabs>
          <w:tab w:val="left" w:pos="993"/>
        </w:tabs>
        <w:spacing w:line="360" w:lineRule="auto"/>
        <w:ind w:left="0" w:firstLine="426" w:firstLineChars="0"/>
        <w:rPr>
          <w:rFonts w:hint="eastAsia" w:ascii="宋体" w:hAnsi="宋体" w:eastAsia="宋体" w:cs="宋体"/>
          <w:sz w:val="24"/>
          <w:szCs w:val="24"/>
        </w:rPr>
      </w:pPr>
      <w:r>
        <w:rPr>
          <w:rFonts w:hint="eastAsia" w:ascii="宋体" w:hAnsi="宋体" w:eastAsia="宋体" w:cs="宋体"/>
          <w:sz w:val="24"/>
          <w:szCs w:val="24"/>
        </w:rPr>
        <w:t>自检功能：可将各像素的工作情况、通信接口通信性能及其他单元的状态正确检测出来，显示并上传</w:t>
      </w:r>
    </w:p>
    <w:p>
      <w:pPr>
        <w:pStyle w:val="21"/>
        <w:numPr>
          <w:ilvl w:val="0"/>
          <w:numId w:val="5"/>
        </w:numPr>
        <w:tabs>
          <w:tab w:val="left" w:pos="993"/>
        </w:tabs>
        <w:spacing w:line="360" w:lineRule="auto"/>
        <w:ind w:left="0" w:firstLine="426" w:firstLineChars="0"/>
        <w:rPr>
          <w:rFonts w:hint="eastAsia" w:ascii="宋体" w:hAnsi="宋体" w:eastAsia="宋体" w:cs="宋体"/>
          <w:sz w:val="24"/>
          <w:szCs w:val="24"/>
        </w:rPr>
      </w:pPr>
      <w:r>
        <w:rPr>
          <w:rFonts w:hint="eastAsia" w:ascii="宋体" w:hAnsi="宋体" w:eastAsia="宋体" w:cs="宋体"/>
          <w:sz w:val="24"/>
          <w:szCs w:val="24"/>
        </w:rPr>
        <w:t>调光功能：可根据环境照度调节像素的发光强度</w:t>
      </w:r>
    </w:p>
    <w:p>
      <w:pPr>
        <w:pStyle w:val="21"/>
        <w:numPr>
          <w:ilvl w:val="0"/>
          <w:numId w:val="5"/>
        </w:numPr>
        <w:tabs>
          <w:tab w:val="left" w:pos="993"/>
        </w:tabs>
        <w:spacing w:line="360" w:lineRule="auto"/>
        <w:ind w:left="0" w:firstLine="426" w:firstLineChars="0"/>
        <w:rPr>
          <w:rFonts w:hint="eastAsia" w:ascii="宋体" w:hAnsi="宋体" w:eastAsia="宋体" w:cs="宋体"/>
          <w:sz w:val="24"/>
          <w:szCs w:val="24"/>
        </w:rPr>
      </w:pPr>
      <w:r>
        <w:rPr>
          <w:rFonts w:hint="eastAsia" w:ascii="宋体" w:hAnsi="宋体" w:eastAsia="宋体" w:cs="宋体"/>
          <w:sz w:val="24"/>
          <w:szCs w:val="24"/>
        </w:rPr>
        <w:t>可变情报板应符合《高速公路LED 可变信息标志》GB/T 23828-2009）要求的检验规定，且质量稳定。（提供检测报告复印件）</w:t>
      </w:r>
    </w:p>
    <w:p>
      <w:pPr>
        <w:pStyle w:val="21"/>
        <w:numPr>
          <w:ilvl w:val="0"/>
          <w:numId w:val="5"/>
        </w:numPr>
        <w:tabs>
          <w:tab w:val="left" w:pos="993"/>
        </w:tabs>
        <w:spacing w:line="360" w:lineRule="auto"/>
        <w:ind w:left="0" w:firstLine="426" w:firstLineChars="0"/>
        <w:rPr>
          <w:rFonts w:hint="eastAsia" w:ascii="宋体" w:hAnsi="宋体" w:eastAsia="宋体" w:cs="宋体"/>
          <w:sz w:val="24"/>
          <w:szCs w:val="24"/>
        </w:rPr>
      </w:pPr>
      <w:r>
        <w:rPr>
          <w:rFonts w:hint="eastAsia" w:ascii="宋体" w:hAnsi="宋体" w:eastAsia="宋体" w:cs="宋体"/>
          <w:sz w:val="24"/>
          <w:szCs w:val="24"/>
        </w:rPr>
        <w:t>可变情报板应通过公安部交通安全质量监督检测中心最新全项指标检测。（提供检测报告复印件）</w:t>
      </w:r>
    </w:p>
    <w:p>
      <w:pPr>
        <w:pStyle w:val="21"/>
        <w:numPr>
          <w:ilvl w:val="0"/>
          <w:numId w:val="5"/>
        </w:numPr>
        <w:tabs>
          <w:tab w:val="left" w:pos="993"/>
        </w:tabs>
        <w:spacing w:line="360" w:lineRule="auto"/>
        <w:ind w:left="0" w:firstLine="426" w:firstLineChars="0"/>
        <w:rPr>
          <w:rFonts w:hint="eastAsia" w:ascii="宋体" w:hAnsi="宋体" w:eastAsia="宋体" w:cs="宋体"/>
          <w:sz w:val="24"/>
          <w:szCs w:val="24"/>
        </w:rPr>
      </w:pPr>
      <w:r>
        <w:rPr>
          <w:rFonts w:hint="eastAsia" w:ascii="宋体" w:hAnsi="宋体" w:eastAsia="宋体" w:cs="宋体"/>
          <w:sz w:val="24"/>
          <w:szCs w:val="24"/>
        </w:rPr>
        <w:t>可变情报板产品应具备耐高、低温工作性能，产品在-40℃～+55℃条件下，试验 8h，产品应启动正常，逻辑正确（提供检测报告复印件）</w:t>
      </w:r>
    </w:p>
    <w:p>
      <w:pPr>
        <w:pStyle w:val="21"/>
        <w:numPr>
          <w:ilvl w:val="0"/>
          <w:numId w:val="5"/>
        </w:numPr>
        <w:tabs>
          <w:tab w:val="left" w:pos="993"/>
        </w:tabs>
        <w:spacing w:line="360" w:lineRule="auto"/>
        <w:ind w:left="0" w:firstLine="426" w:firstLineChars="0"/>
        <w:rPr>
          <w:rFonts w:hint="eastAsia" w:ascii="宋体" w:hAnsi="宋体" w:eastAsia="宋体" w:cs="宋体"/>
          <w:sz w:val="24"/>
          <w:szCs w:val="24"/>
        </w:rPr>
      </w:pPr>
      <w:r>
        <w:rPr>
          <w:rFonts w:hint="eastAsia" w:ascii="宋体" w:hAnsi="宋体" w:eastAsia="宋体" w:cs="宋体"/>
          <w:sz w:val="24"/>
          <w:szCs w:val="24"/>
        </w:rPr>
        <w:t>可变情报板产品应具备像素和驱动传输模块工作状态的检测与定位功能（提供国家交通安全设施质量监督检测中心出具的检测报告)。</w:t>
      </w:r>
    </w:p>
    <w:p>
      <w:pPr>
        <w:pStyle w:val="21"/>
        <w:numPr>
          <w:ilvl w:val="0"/>
          <w:numId w:val="5"/>
        </w:numPr>
        <w:tabs>
          <w:tab w:val="left" w:pos="993"/>
        </w:tabs>
        <w:spacing w:line="360" w:lineRule="auto"/>
        <w:ind w:left="0" w:firstLine="426" w:firstLineChars="0"/>
        <w:rPr>
          <w:rFonts w:hint="eastAsia" w:ascii="宋体" w:hAnsi="宋体" w:eastAsia="宋体" w:cs="宋体"/>
          <w:sz w:val="24"/>
          <w:szCs w:val="24"/>
        </w:rPr>
      </w:pPr>
      <w:r>
        <w:rPr>
          <w:rFonts w:hint="eastAsia" w:ascii="宋体" w:hAnsi="宋体" w:eastAsia="宋体" w:cs="宋体"/>
          <w:sz w:val="24"/>
          <w:szCs w:val="24"/>
        </w:rPr>
        <w:t>显示单元模组必须采用双面灌封特殊硅胶的方式，以保护模组不受风沙、盐雾和霉变的侵害（提供证明材料)。</w:t>
      </w:r>
    </w:p>
    <w:p>
      <w:pPr>
        <w:pStyle w:val="21"/>
        <w:numPr>
          <w:ilvl w:val="0"/>
          <w:numId w:val="5"/>
        </w:numPr>
        <w:tabs>
          <w:tab w:val="left" w:pos="993"/>
        </w:tabs>
        <w:spacing w:line="360" w:lineRule="auto"/>
        <w:ind w:left="0" w:firstLine="426" w:firstLineChars="0"/>
        <w:rPr>
          <w:rFonts w:hint="eastAsia" w:ascii="宋体" w:hAnsi="宋体" w:eastAsia="宋体" w:cs="宋体"/>
          <w:sz w:val="24"/>
          <w:szCs w:val="24"/>
        </w:rPr>
      </w:pPr>
      <w:r>
        <w:rPr>
          <w:rFonts w:hint="eastAsia" w:ascii="宋体" w:hAnsi="宋体" w:eastAsia="宋体" w:cs="宋体"/>
          <w:sz w:val="24"/>
          <w:szCs w:val="24"/>
        </w:rPr>
        <w:t>全屏显示白色，亮度为8000cd/㎡时，功耗≤100W/㎡，功率因素≥0.85（提供检测报告复印件）</w:t>
      </w:r>
    </w:p>
    <w:p>
      <w:pPr>
        <w:pStyle w:val="21"/>
        <w:numPr>
          <w:ilvl w:val="0"/>
          <w:numId w:val="5"/>
        </w:numPr>
        <w:tabs>
          <w:tab w:val="left" w:pos="993"/>
        </w:tabs>
        <w:spacing w:line="360" w:lineRule="auto"/>
        <w:ind w:left="0" w:firstLine="426" w:firstLineChars="0"/>
        <w:rPr>
          <w:rFonts w:hint="eastAsia" w:ascii="宋体" w:hAnsi="宋体" w:eastAsia="宋体" w:cs="宋体"/>
          <w:sz w:val="24"/>
          <w:szCs w:val="24"/>
        </w:rPr>
      </w:pPr>
      <w:r>
        <w:rPr>
          <w:rFonts w:hint="eastAsia" w:ascii="宋体" w:hAnsi="宋体" w:eastAsia="宋体" w:cs="宋体"/>
          <w:sz w:val="24"/>
          <w:szCs w:val="24"/>
        </w:rPr>
        <w:t>产品应具有耐候性能，产品的外壳防腐层经过人工加速老化试验累积能量达到3.5×106kJ/㎡后，外观应无明显褪色、粉化、龟裂、溶解、锈蚀等老化现象</w:t>
      </w:r>
      <w:bookmarkStart w:id="3" w:name="_GoBack"/>
      <w:bookmarkEnd w:id="3"/>
    </w:p>
    <w:p>
      <w:pPr>
        <w:pStyle w:val="21"/>
        <w:tabs>
          <w:tab w:val="left" w:pos="993"/>
        </w:tabs>
        <w:spacing w:line="360" w:lineRule="auto"/>
        <w:ind w:left="426" w:firstLine="0" w:firstLineChars="0"/>
        <w:rPr>
          <w:rFonts w:hint="eastAsia" w:ascii="宋体" w:hAnsi="宋体" w:eastAsia="宋体" w:cs="宋体"/>
          <w:b/>
          <w:bCs/>
          <w:sz w:val="24"/>
          <w:szCs w:val="24"/>
        </w:rPr>
      </w:pPr>
      <w:r>
        <w:rPr>
          <w:rFonts w:hint="eastAsia" w:ascii="宋体" w:hAnsi="宋体" w:eastAsia="宋体" w:cs="宋体"/>
          <w:b/>
          <w:bCs/>
          <w:sz w:val="24"/>
          <w:szCs w:val="24"/>
        </w:rPr>
        <w:t>2.2.7技术规格</w:t>
      </w:r>
    </w:p>
    <w:tbl>
      <w:tblPr>
        <w:tblStyle w:val="13"/>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20"/>
        <w:gridCol w:w="2360"/>
        <w:gridCol w:w="622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80"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像素点间距（mm）</w:t>
            </w:r>
          </w:p>
        </w:tc>
        <w:tc>
          <w:tcPr>
            <w:tcW w:w="6228"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31.25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5" w:hRule="atLeast"/>
        </w:trPr>
        <w:tc>
          <w:tcPr>
            <w:tcW w:w="520" w:type="dxa"/>
            <w:vMerge w:val="restar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像</w:t>
            </w:r>
          </w:p>
          <w:p>
            <w:pPr>
              <w:spacing w:line="28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素</w:t>
            </w:r>
          </w:p>
          <w:p>
            <w:pPr>
              <w:spacing w:line="28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模组</w:t>
            </w:r>
          </w:p>
        </w:tc>
        <w:tc>
          <w:tcPr>
            <w:tcW w:w="2360"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发光二极管</w:t>
            </w:r>
          </w:p>
        </w:tc>
        <w:tc>
          <w:tcPr>
            <w:tcW w:w="6228" w:type="dxa"/>
            <w:tcBorders>
              <w:top w:val="single" w:color="auto" w:sz="4" w:space="0"/>
              <w:left w:val="single" w:color="auto" w:sz="4" w:space="0"/>
              <w:bottom w:val="single" w:color="auto" w:sz="4" w:space="0"/>
              <w:right w:val="single" w:color="auto" w:sz="4" w:space="0"/>
            </w:tcBorders>
            <w:vAlign w:val="center"/>
          </w:tcPr>
          <w:p>
            <w:pPr>
              <w:snapToGrid w:val="0"/>
              <w:rPr>
                <w:rFonts w:hint="eastAsia" w:ascii="宋体" w:hAnsi="宋体" w:eastAsia="宋体" w:cs="宋体"/>
                <w:b/>
                <w:bCs/>
                <w:color w:val="000000"/>
                <w:sz w:val="24"/>
                <w:szCs w:val="24"/>
              </w:rPr>
            </w:pPr>
            <w:r>
              <w:rPr>
                <w:rFonts w:hint="eastAsia" w:ascii="宋体" w:hAnsi="宋体" w:eastAsia="宋体" w:cs="宋体"/>
                <w:color w:val="000000"/>
                <w:sz w:val="24"/>
                <w:szCs w:val="24"/>
              </w:rPr>
              <w:t>红色LED管采用铝、铟、镓、磷（AlInGaP）四元素超高亮度发光二极管，纯绿、纯蓝LED管采用氮化钾（GaN）超高亮度发光二极管。</w:t>
            </w:r>
          </w:p>
          <w:p>
            <w:pPr>
              <w:tabs>
                <w:tab w:val="center" w:pos="3240"/>
                <w:tab w:val="center" w:pos="5220"/>
                <w:tab w:val="center" w:pos="7020"/>
              </w:tabs>
              <w:snapToGrid w:val="0"/>
              <w:ind w:firstLine="1680" w:firstLineChars="7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波长      </w:t>
            </w:r>
          </w:p>
          <w:p>
            <w:pPr>
              <w:tabs>
                <w:tab w:val="center" w:pos="3240"/>
                <w:tab w:val="center" w:pos="5220"/>
                <w:tab w:val="center" w:pos="7020"/>
              </w:tabs>
              <w:snapToGrid w:val="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红管       620～630nm   </w:t>
            </w:r>
          </w:p>
          <w:p>
            <w:pPr>
              <w:tabs>
                <w:tab w:val="center" w:pos="3240"/>
                <w:tab w:val="center" w:pos="5220"/>
                <w:tab w:val="center" w:pos="7020"/>
              </w:tabs>
              <w:snapToGrid w:val="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绿管       510～525nm   </w:t>
            </w:r>
          </w:p>
          <w:p>
            <w:pPr>
              <w:tabs>
                <w:tab w:val="center" w:pos="3240"/>
                <w:tab w:val="center" w:pos="5220"/>
                <w:tab w:val="center" w:pos="7020"/>
              </w:tabs>
              <w:snapToGrid w:val="0"/>
              <w:spacing w:line="280" w:lineRule="exact"/>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蓝管       470～475nm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5" w:hRule="atLeast"/>
        </w:trPr>
        <w:tc>
          <w:tcPr>
            <w:tcW w:w="52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80" w:lineRule="exact"/>
              <w:jc w:val="left"/>
              <w:rPr>
                <w:rFonts w:hint="eastAsia" w:ascii="宋体" w:hAnsi="宋体" w:eastAsia="宋体" w:cs="宋体"/>
                <w:color w:val="000000"/>
                <w:sz w:val="24"/>
                <w:szCs w:val="24"/>
              </w:rPr>
            </w:pPr>
          </w:p>
        </w:tc>
        <w:tc>
          <w:tcPr>
            <w:tcW w:w="2360"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像素组成</w:t>
            </w:r>
          </w:p>
        </w:tc>
        <w:tc>
          <w:tcPr>
            <w:tcW w:w="6228"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sz w:val="24"/>
                <w:szCs w:val="24"/>
              </w:rPr>
            </w:pPr>
            <w:r>
              <w:rPr>
                <w:rFonts w:hint="eastAsia" w:ascii="宋体" w:hAnsi="宋体" w:eastAsia="宋体" w:cs="宋体"/>
                <w:sz w:val="24"/>
                <w:szCs w:val="24"/>
              </w:rPr>
              <w:t>全彩：4红2纯绿1纯蓝</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5" w:hRule="atLeast"/>
        </w:trPr>
        <w:tc>
          <w:tcPr>
            <w:tcW w:w="52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80" w:lineRule="exact"/>
              <w:jc w:val="left"/>
              <w:rPr>
                <w:rFonts w:hint="eastAsia" w:ascii="宋体" w:hAnsi="宋体" w:eastAsia="宋体" w:cs="宋体"/>
                <w:color w:val="000000"/>
                <w:sz w:val="24"/>
                <w:szCs w:val="24"/>
              </w:rPr>
            </w:pPr>
          </w:p>
        </w:tc>
        <w:tc>
          <w:tcPr>
            <w:tcW w:w="2360"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像素模组规格</w:t>
            </w:r>
          </w:p>
        </w:tc>
        <w:tc>
          <w:tcPr>
            <w:tcW w:w="6228"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4×8模组</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80"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显示方式</w:t>
            </w:r>
          </w:p>
        </w:tc>
        <w:tc>
          <w:tcPr>
            <w:tcW w:w="6228"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000000"/>
                <w:sz w:val="24"/>
                <w:szCs w:val="24"/>
              </w:rPr>
            </w:pPr>
            <w:r>
              <w:rPr>
                <w:rFonts w:hint="eastAsia" w:ascii="宋体" w:hAnsi="宋体" w:eastAsia="宋体" w:cs="宋体"/>
                <w:sz w:val="24"/>
                <w:szCs w:val="24"/>
              </w:rPr>
              <w:t>可显示全彩色图形+文字、数字及全黑</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80"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重量（KG/㎡）</w:t>
            </w:r>
          </w:p>
        </w:tc>
        <w:tc>
          <w:tcPr>
            <w:tcW w:w="6228"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70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80"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sz w:val="24"/>
                <w:szCs w:val="24"/>
              </w:rPr>
            </w:pPr>
            <w:r>
              <w:rPr>
                <w:rFonts w:hint="eastAsia" w:ascii="宋体" w:hAnsi="宋体" w:eastAsia="宋体" w:cs="宋体"/>
                <w:color w:val="000000"/>
                <w:sz w:val="24"/>
                <w:szCs w:val="24"/>
              </w:rPr>
              <w:t>有效显示尺寸（m）</w:t>
            </w:r>
          </w:p>
        </w:tc>
        <w:tc>
          <w:tcPr>
            <w:tcW w:w="6228" w:type="dxa"/>
            <w:tcBorders>
              <w:top w:val="single" w:color="auto" w:sz="4" w:space="0"/>
              <w:left w:val="single" w:color="auto" w:sz="4" w:space="0"/>
              <w:bottom w:val="single" w:color="auto" w:sz="4" w:space="0"/>
              <w:right w:val="single" w:color="auto" w:sz="4" w:space="0"/>
            </w:tcBorders>
            <w:vAlign w:val="center"/>
          </w:tcPr>
          <w:p>
            <w:pPr>
              <w:snapToGrid w:val="0"/>
              <w:spacing w:line="280" w:lineRule="exact"/>
              <w:ind w:left="210" w:leftChars="100"/>
              <w:jc w:val="center"/>
              <w:rPr>
                <w:rFonts w:hint="eastAsia" w:ascii="宋体" w:hAnsi="宋体" w:eastAsia="宋体" w:cs="宋体"/>
                <w:color w:val="000000"/>
                <w:sz w:val="24"/>
                <w:szCs w:val="24"/>
              </w:rPr>
            </w:pPr>
            <w:r>
              <w:rPr>
                <w:rFonts w:hint="eastAsia" w:ascii="宋体" w:hAnsi="宋体" w:eastAsia="宋体" w:cs="宋体"/>
                <w:sz w:val="24"/>
                <w:szCs w:val="24"/>
              </w:rPr>
              <w:t>12m×1m（长×高）</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80"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显示屏分辨率</w:t>
            </w:r>
          </w:p>
        </w:tc>
        <w:tc>
          <w:tcPr>
            <w:tcW w:w="6228"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384点×32点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80"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像素密度（点/㎡）</w:t>
            </w:r>
          </w:p>
        </w:tc>
        <w:tc>
          <w:tcPr>
            <w:tcW w:w="6228"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1024点/㎡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80"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像素驱动方式</w:t>
            </w:r>
          </w:p>
        </w:tc>
        <w:tc>
          <w:tcPr>
            <w:tcW w:w="6228"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恒流静态锁存</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80"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视认角</w:t>
            </w:r>
          </w:p>
        </w:tc>
        <w:tc>
          <w:tcPr>
            <w:tcW w:w="6228"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000000"/>
                <w:sz w:val="24"/>
                <w:szCs w:val="24"/>
              </w:rPr>
            </w:pPr>
            <w:r>
              <w:rPr>
                <w:rFonts w:hint="eastAsia" w:ascii="宋体" w:hAnsi="宋体" w:eastAsia="宋体" w:cs="宋体"/>
                <w:sz w:val="24"/>
                <w:szCs w:val="24"/>
              </w:rPr>
              <w:t>≥30</w:t>
            </w:r>
            <w:r>
              <w:rPr>
                <w:rFonts w:hint="eastAsia" w:ascii="宋体" w:hAnsi="宋体" w:eastAsia="宋体" w:cs="宋体"/>
                <w:color w:val="000000"/>
                <w:sz w:val="24"/>
                <w:szCs w:val="24"/>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80"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单个二极管工作电流</w:t>
            </w:r>
          </w:p>
        </w:tc>
        <w:tc>
          <w:tcPr>
            <w:tcW w:w="6228"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≤20mA</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80"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亮度（cd/㎡）</w:t>
            </w:r>
          </w:p>
        </w:tc>
        <w:tc>
          <w:tcPr>
            <w:tcW w:w="6228"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000000"/>
                <w:sz w:val="24"/>
                <w:szCs w:val="24"/>
              </w:rPr>
            </w:pPr>
            <w:r>
              <w:rPr>
                <w:rFonts w:hint="eastAsia" w:ascii="宋体" w:hAnsi="宋体" w:eastAsia="宋体" w:cs="宋体"/>
                <w:sz w:val="24"/>
                <w:szCs w:val="24"/>
              </w:rPr>
              <w:t>全彩色≥10000cd/㎡</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80"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显示指令响应时间</w:t>
            </w:r>
          </w:p>
        </w:tc>
        <w:tc>
          <w:tcPr>
            <w:tcW w:w="6228"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000000"/>
                <w:sz w:val="24"/>
                <w:szCs w:val="24"/>
              </w:rPr>
            </w:pPr>
            <w:r>
              <w:rPr>
                <w:rFonts w:hint="eastAsia" w:ascii="宋体" w:hAnsi="宋体" w:eastAsia="宋体" w:cs="宋体"/>
                <w:sz w:val="24"/>
                <w:szCs w:val="24"/>
              </w:rPr>
              <w:t>≤1S</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80"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刷新频率</w:t>
            </w:r>
          </w:p>
        </w:tc>
        <w:tc>
          <w:tcPr>
            <w:tcW w:w="6228"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color w:val="000000"/>
                <w:sz w:val="24"/>
                <w:szCs w:val="24"/>
              </w:rPr>
              <w:t>100Hz</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80"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000000"/>
                <w:sz w:val="24"/>
                <w:szCs w:val="24"/>
              </w:rPr>
            </w:pPr>
            <w:r>
              <w:rPr>
                <w:rFonts w:hint="eastAsia" w:ascii="宋体" w:hAnsi="宋体" w:eastAsia="宋体" w:cs="宋体"/>
                <w:sz w:val="24"/>
                <w:szCs w:val="24"/>
              </w:rPr>
              <w:t>失控率</w:t>
            </w:r>
          </w:p>
        </w:tc>
        <w:tc>
          <w:tcPr>
            <w:tcW w:w="6228"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sz w:val="24"/>
                <w:szCs w:val="24"/>
              </w:rPr>
            </w:pPr>
            <w:r>
              <w:rPr>
                <w:rFonts w:hint="eastAsia" w:ascii="宋体" w:hAnsi="宋体" w:eastAsia="宋体" w:cs="宋体"/>
                <w:sz w:val="24"/>
                <w:szCs w:val="24"/>
              </w:rPr>
              <w:t>≤1‰，且为离散型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80"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绝缘电阻</w:t>
            </w:r>
          </w:p>
        </w:tc>
        <w:tc>
          <w:tcPr>
            <w:tcW w:w="6228"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≥100MΩ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80"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接口</w:t>
            </w:r>
          </w:p>
        </w:tc>
        <w:tc>
          <w:tcPr>
            <w:tcW w:w="6228"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9针或25针ES-232阴性插座和四针RS-485阳性插座</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80"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sz w:val="24"/>
                <w:szCs w:val="24"/>
              </w:rPr>
            </w:pPr>
            <w:r>
              <w:rPr>
                <w:rFonts w:hint="eastAsia" w:ascii="宋体" w:hAnsi="宋体" w:eastAsia="宋体" w:cs="宋体"/>
                <w:sz w:val="24"/>
                <w:szCs w:val="24"/>
              </w:rPr>
              <w:t>通信方式</w:t>
            </w:r>
          </w:p>
        </w:tc>
        <w:tc>
          <w:tcPr>
            <w:tcW w:w="6228"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sz w:val="24"/>
                <w:szCs w:val="24"/>
              </w:rPr>
            </w:pPr>
            <w:r>
              <w:rPr>
                <w:rFonts w:hint="eastAsia" w:ascii="宋体" w:hAnsi="宋体" w:eastAsia="宋体" w:cs="宋体"/>
                <w:sz w:val="24"/>
                <w:szCs w:val="24"/>
              </w:rPr>
              <w:t>异步，全双工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80"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sz w:val="24"/>
                <w:szCs w:val="24"/>
              </w:rPr>
            </w:pPr>
            <w:r>
              <w:rPr>
                <w:rFonts w:hint="eastAsia" w:ascii="宋体" w:hAnsi="宋体" w:eastAsia="宋体" w:cs="宋体"/>
                <w:color w:val="000000"/>
                <w:sz w:val="24"/>
                <w:szCs w:val="24"/>
              </w:rPr>
              <w:t>亮度调节</w:t>
            </w:r>
          </w:p>
        </w:tc>
        <w:tc>
          <w:tcPr>
            <w:tcW w:w="6228"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sz w:val="24"/>
                <w:szCs w:val="24"/>
              </w:rPr>
            </w:pPr>
            <w:r>
              <w:rPr>
                <w:rFonts w:hint="eastAsia" w:ascii="宋体" w:hAnsi="宋体" w:eastAsia="宋体" w:cs="宋体"/>
                <w:color w:val="000000"/>
                <w:sz w:val="24"/>
                <w:szCs w:val="24"/>
              </w:rPr>
              <w:t>32级手动/自动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80"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000000"/>
                <w:sz w:val="24"/>
                <w:szCs w:val="24"/>
              </w:rPr>
            </w:pPr>
            <w:r>
              <w:rPr>
                <w:rFonts w:hint="eastAsia" w:ascii="宋体" w:hAnsi="宋体" w:eastAsia="宋体" w:cs="宋体"/>
                <w:sz w:val="24"/>
                <w:szCs w:val="24"/>
              </w:rPr>
              <w:t>LED平均寿命</w:t>
            </w:r>
          </w:p>
        </w:tc>
        <w:tc>
          <w:tcPr>
            <w:tcW w:w="6228"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000000"/>
                <w:sz w:val="24"/>
                <w:szCs w:val="24"/>
              </w:rPr>
            </w:pPr>
            <w:r>
              <w:rPr>
                <w:rFonts w:hint="eastAsia" w:ascii="宋体" w:hAnsi="宋体" w:eastAsia="宋体" w:cs="宋体"/>
                <w:sz w:val="24"/>
                <w:szCs w:val="24"/>
              </w:rPr>
              <w:t>≥50000小时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8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000000"/>
                <w:sz w:val="24"/>
                <w:szCs w:val="24"/>
              </w:rPr>
            </w:pPr>
            <w:r>
              <w:rPr>
                <w:rFonts w:hint="eastAsia" w:ascii="宋体" w:hAnsi="宋体" w:eastAsia="宋体" w:cs="宋体"/>
                <w:sz w:val="24"/>
                <w:szCs w:val="24"/>
              </w:rPr>
              <w:t>平均无故障工作时间</w:t>
            </w:r>
          </w:p>
        </w:tc>
        <w:tc>
          <w:tcPr>
            <w:tcW w:w="622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000000"/>
                <w:sz w:val="24"/>
                <w:szCs w:val="24"/>
              </w:rPr>
            </w:pPr>
            <w:r>
              <w:rPr>
                <w:rFonts w:hint="eastAsia" w:ascii="宋体" w:hAnsi="宋体" w:eastAsia="宋体" w:cs="宋体"/>
                <w:kern w:val="0"/>
                <w:sz w:val="24"/>
                <w:szCs w:val="24"/>
              </w:rPr>
              <w:t>≥10000小时</w:t>
            </w:r>
          </w:p>
        </w:tc>
      </w:tr>
    </w:tbl>
    <w:p>
      <w:pPr>
        <w:pStyle w:val="8"/>
        <w:widowControl w:val="0"/>
        <w:numPr>
          <w:numId w:val="0"/>
        </w:numPr>
        <w:jc w:val="both"/>
        <w:rPr>
          <w:rFonts w:hint="default" w:ascii="Times New Roman" w:hAnsi="Times New Roman" w:eastAsia="宋体" w:cs="Times New Roman"/>
          <w:b/>
          <w:snapToGrid w:val="0"/>
          <w:kern w:val="0"/>
          <w:sz w:val="24"/>
          <w:szCs w:val="24"/>
          <w:lang w:val="en-US" w:eastAsia="zh-CN" w:bidi="ar-SA"/>
        </w:rPr>
      </w:pPr>
    </w:p>
    <w:p>
      <w:pPr>
        <w:numPr>
          <w:numId w:val="0"/>
        </w:numPr>
        <w:topLinePunct/>
        <w:spacing w:line="360" w:lineRule="auto"/>
        <w:outlineLvl w:val="1"/>
        <w:rPr>
          <w:rFonts w:hint="default" w:ascii="Times New Roman" w:hAnsi="Times New Roman" w:eastAsia="宋体" w:cs="Times New Roman"/>
          <w:b/>
          <w:snapToGrid w:val="0"/>
          <w:kern w:val="0"/>
          <w:sz w:val="24"/>
          <w:szCs w:val="24"/>
        </w:rPr>
      </w:pPr>
      <w:r>
        <w:rPr>
          <w:rFonts w:hint="eastAsia" w:cs="Times New Roman"/>
          <w:b/>
          <w:snapToGrid w:val="0"/>
          <w:kern w:val="0"/>
          <w:sz w:val="24"/>
          <w:szCs w:val="24"/>
          <w:lang w:val="en-US" w:eastAsia="zh-CN"/>
        </w:rPr>
        <w:t>5.</w:t>
      </w: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将附于本公告后的响应回执在</w:t>
      </w:r>
      <w:r>
        <w:rPr>
          <w:rFonts w:hint="default" w:ascii="Times New Roman" w:hAnsi="Times New Roman" w:eastAsia="宋体" w:cs="Times New Roman"/>
          <w:color w:val="000000"/>
          <w:sz w:val="24"/>
          <w:szCs w:val="24"/>
          <w:u w:val="single"/>
        </w:rPr>
        <w:t>2023年</w:t>
      </w:r>
      <w:r>
        <w:rPr>
          <w:rFonts w:hint="default" w:ascii="Times New Roman" w:hAnsi="Times New Roman" w:eastAsia="宋体" w:cs="Times New Roman"/>
          <w:color w:val="000000"/>
          <w:sz w:val="24"/>
          <w:szCs w:val="24"/>
          <w:u w:val="single"/>
          <w:lang w:val="en-US" w:eastAsia="zh-CN"/>
        </w:rPr>
        <w:t xml:space="preserve"> </w:t>
      </w:r>
      <w:r>
        <w:rPr>
          <w:rFonts w:hint="eastAsia" w:cs="Times New Roman"/>
          <w:color w:val="000000"/>
          <w:sz w:val="24"/>
          <w:szCs w:val="24"/>
          <w:u w:val="single"/>
          <w:lang w:val="en-US" w:eastAsia="zh-CN"/>
        </w:rPr>
        <w:t>7</w:t>
      </w:r>
      <w:r>
        <w:rPr>
          <w:rFonts w:hint="default" w:ascii="Times New Roman" w:hAnsi="Times New Roman" w:eastAsia="宋体" w:cs="Times New Roman"/>
          <w:color w:val="000000"/>
          <w:sz w:val="24"/>
          <w:szCs w:val="24"/>
          <w:u w:val="single"/>
          <w:lang w:val="en-US" w:eastAsia="zh-CN"/>
        </w:rPr>
        <w:t xml:space="preserve"> </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21</w:t>
      </w:r>
      <w:r>
        <w:rPr>
          <w:rFonts w:hint="default" w:ascii="Times New Roman" w:hAnsi="Times New Roman" w:eastAsia="宋体" w:cs="Times New Roman"/>
          <w:color w:val="000000"/>
          <w:sz w:val="24"/>
          <w:szCs w:val="24"/>
          <w:u w:val="single"/>
        </w:rPr>
        <w:t>日</w:t>
      </w:r>
      <w:r>
        <w:rPr>
          <w:rFonts w:hint="default" w:ascii="Times New Roman" w:hAnsi="Times New Roman" w:eastAsia="宋体" w:cs="Times New Roman"/>
          <w:color w:val="000000"/>
          <w:sz w:val="24"/>
          <w:szCs w:val="24"/>
          <w:u w:val="single"/>
          <w:lang w:val="en-US" w:eastAsia="zh-CN"/>
        </w:rPr>
        <w:t>1</w:t>
      </w:r>
      <w:r>
        <w:rPr>
          <w:rFonts w:hint="eastAsia" w:cs="Times New Roman"/>
          <w:color w:val="000000"/>
          <w:sz w:val="24"/>
          <w:szCs w:val="24"/>
          <w:u w:val="single"/>
          <w:lang w:val="en-US" w:eastAsia="zh-CN"/>
        </w:rPr>
        <w:t>6</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cs="Times New Roman"/>
          <w:color w:val="000000"/>
          <w:sz w:val="24"/>
          <w:szCs w:val="24"/>
          <w:lang w:val="en-US" w:eastAsia="zh-CN"/>
        </w:rPr>
        <w:t>1376039885</w:t>
      </w:r>
      <w:r>
        <w:rPr>
          <w:rFonts w:hint="default" w:ascii="Times New Roman" w:hAnsi="Times New Roman" w:eastAsia="宋体" w:cs="Times New Roman"/>
          <w:snapToGrid w:val="0"/>
          <w:color w:val="000000"/>
          <w:kern w:val="0"/>
          <w:sz w:val="24"/>
          <w:szCs w:val="24"/>
        </w:rPr>
        <w:t>@</w:t>
      </w:r>
      <w:r>
        <w:rPr>
          <w:rFonts w:hint="eastAsia" w:cs="Times New Roman"/>
          <w:snapToGrid w:val="0"/>
          <w:color w:val="000000"/>
          <w:kern w:val="0"/>
          <w:sz w:val="24"/>
          <w:szCs w:val="24"/>
          <w:lang w:val="en-US" w:eastAsia="zh-CN"/>
        </w:rPr>
        <w:t>163</w:t>
      </w:r>
      <w:r>
        <w:rPr>
          <w:rFonts w:hint="default" w:ascii="Times New Roman" w:hAnsi="Times New Roman" w:eastAsia="宋体" w:cs="Times New Roman"/>
          <w:snapToGrid w:val="0"/>
          <w:color w:val="000000"/>
          <w:kern w:val="0"/>
          <w:sz w:val="24"/>
          <w:szCs w:val="24"/>
        </w:rPr>
        <w:t>.com，逾期无效。采购人在收到响应回执后根据供应商信用信誉等情况进行讨论提议，不再另行发布采购公告。</w:t>
      </w:r>
    </w:p>
    <w:p>
      <w:pPr>
        <w:numPr>
          <w:numId w:val="0"/>
        </w:numPr>
        <w:topLinePunct/>
        <w:spacing w:line="360" w:lineRule="auto"/>
        <w:outlineLvl w:val="1"/>
        <w:rPr>
          <w:rFonts w:hint="default" w:ascii="Times New Roman" w:hAnsi="Times New Roman" w:eastAsia="宋体" w:cs="Times New Roman"/>
          <w:b/>
          <w:snapToGrid w:val="0"/>
          <w:kern w:val="0"/>
          <w:sz w:val="24"/>
          <w:szCs w:val="24"/>
        </w:rPr>
      </w:pPr>
      <w:bookmarkStart w:id="0" w:name="_Toc332793891"/>
      <w:bookmarkStart w:id="1" w:name="_Toc332793818"/>
      <w:bookmarkStart w:id="2" w:name="_Toc332965960"/>
      <w:r>
        <w:rPr>
          <w:rFonts w:hint="eastAsia" w:cs="Times New Roman"/>
          <w:b/>
          <w:snapToGrid w:val="0"/>
          <w:kern w:val="0"/>
          <w:sz w:val="24"/>
          <w:szCs w:val="24"/>
          <w:lang w:val="en-US" w:eastAsia="zh-CN"/>
        </w:rPr>
        <w:t>6.</w:t>
      </w:r>
      <w:r>
        <w:rPr>
          <w:rFonts w:hint="default" w:ascii="Times New Roman" w:hAnsi="Times New Roman" w:eastAsia="宋体" w:cs="Times New Roman"/>
          <w:b/>
          <w:snapToGrid w:val="0"/>
          <w:kern w:val="0"/>
          <w:sz w:val="24"/>
          <w:szCs w:val="24"/>
        </w:rPr>
        <w:t>联系方式</w:t>
      </w:r>
      <w:bookmarkEnd w:id="0"/>
      <w:bookmarkEnd w:id="1"/>
      <w:bookmarkEnd w:id="2"/>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cs="Times New Roman"/>
          <w:color w:val="000000"/>
          <w:sz w:val="24"/>
          <w:szCs w:val="24"/>
          <w:lang w:val="en-US" w:eastAsia="zh-CN"/>
        </w:rPr>
        <w:t>李</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2023年</w:t>
      </w:r>
      <w:r>
        <w:rPr>
          <w:rFonts w:hint="eastAsia" w:cs="Times New Roman"/>
          <w:color w:val="000000"/>
          <w:sz w:val="24"/>
          <w:szCs w:val="24"/>
          <w:lang w:val="en-US" w:eastAsia="zh-CN"/>
        </w:rPr>
        <w:t>07</w:t>
      </w:r>
      <w:r>
        <w:rPr>
          <w:rFonts w:hint="default" w:ascii="Times New Roman" w:hAnsi="Times New Roman" w:eastAsia="宋体" w:cs="Times New Roman"/>
          <w:color w:val="000000"/>
          <w:sz w:val="24"/>
          <w:szCs w:val="24"/>
        </w:rPr>
        <w:t>月</w:t>
      </w:r>
      <w:r>
        <w:rPr>
          <w:rFonts w:hint="eastAsia" w:cs="Times New Roman"/>
          <w:color w:val="000000"/>
          <w:sz w:val="24"/>
          <w:szCs w:val="24"/>
          <w:lang w:val="en-US" w:eastAsia="zh-CN"/>
        </w:rPr>
        <w:t>20</w:t>
      </w:r>
      <w:r>
        <w:rPr>
          <w:rFonts w:hint="default" w:ascii="Times New Roman" w:hAnsi="Times New Roman" w:eastAsia="宋体" w:cs="Times New Roman"/>
          <w:color w:val="00000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ook Antiqua">
    <w:panose1 w:val="02040602050305030304"/>
    <w:charset w:val="00"/>
    <w:family w:val="roman"/>
    <w:pitch w:val="default"/>
    <w:sig w:usb0="00000287"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7"/>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5"/>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29"/>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5"/>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6"/>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1F2B614D"/>
    <w:multiLevelType w:val="multilevel"/>
    <w:tmpl w:val="1F2B614D"/>
    <w:lvl w:ilvl="0" w:tentative="0">
      <w:start w:val="1"/>
      <w:numFmt w:val="decimal"/>
      <w:lvlText w:val="%1)"/>
      <w:lvlJc w:val="left"/>
      <w:pPr>
        <w:ind w:left="860" w:hanging="440"/>
      </w:p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4">
    <w:nsid w:val="6E230785"/>
    <w:multiLevelType w:val="multilevel"/>
    <w:tmpl w:val="6E230785"/>
    <w:lvl w:ilvl="0" w:tentative="0">
      <w:start w:val="1"/>
      <w:numFmt w:val="bullet"/>
      <w:pStyle w:val="34"/>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1"/>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2"/>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3"/>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8"/>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0"/>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6"/>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7"/>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WZkOTkzOGFkNGEzMDNjMmUwMmNjNzM0N2MyZjUwMDQifQ=="/>
  </w:docVars>
  <w:rsids>
    <w:rsidRoot w:val="00172A27"/>
    <w:rsid w:val="00123FE3"/>
    <w:rsid w:val="001301C5"/>
    <w:rsid w:val="00172A27"/>
    <w:rsid w:val="00477707"/>
    <w:rsid w:val="005603E4"/>
    <w:rsid w:val="00791D96"/>
    <w:rsid w:val="009A3C9A"/>
    <w:rsid w:val="00C424AD"/>
    <w:rsid w:val="00CC1A2E"/>
    <w:rsid w:val="00ED32E4"/>
    <w:rsid w:val="00EE2011"/>
    <w:rsid w:val="00FA736A"/>
    <w:rsid w:val="00FC4153"/>
    <w:rsid w:val="00FD7ED5"/>
    <w:rsid w:val="012D66CB"/>
    <w:rsid w:val="014D3BDD"/>
    <w:rsid w:val="02040FDF"/>
    <w:rsid w:val="02BE3126"/>
    <w:rsid w:val="03393105"/>
    <w:rsid w:val="046B1D8B"/>
    <w:rsid w:val="046E3765"/>
    <w:rsid w:val="05FC2DA4"/>
    <w:rsid w:val="06622CB2"/>
    <w:rsid w:val="06A411DD"/>
    <w:rsid w:val="072D08E0"/>
    <w:rsid w:val="083A6841"/>
    <w:rsid w:val="08EE3671"/>
    <w:rsid w:val="09293C1C"/>
    <w:rsid w:val="092A167C"/>
    <w:rsid w:val="0A310FDA"/>
    <w:rsid w:val="0A634ED8"/>
    <w:rsid w:val="0A69025B"/>
    <w:rsid w:val="0AB539B9"/>
    <w:rsid w:val="0B867103"/>
    <w:rsid w:val="0C397098"/>
    <w:rsid w:val="0DA26991"/>
    <w:rsid w:val="0ECB4993"/>
    <w:rsid w:val="112A7044"/>
    <w:rsid w:val="123D1FC9"/>
    <w:rsid w:val="1251365B"/>
    <w:rsid w:val="12ED5CBA"/>
    <w:rsid w:val="140B63F8"/>
    <w:rsid w:val="14C447F8"/>
    <w:rsid w:val="176F6C9D"/>
    <w:rsid w:val="17936E30"/>
    <w:rsid w:val="18606150"/>
    <w:rsid w:val="19B32EC3"/>
    <w:rsid w:val="1A786886"/>
    <w:rsid w:val="1CC7757C"/>
    <w:rsid w:val="1D5379E4"/>
    <w:rsid w:val="1DC008E5"/>
    <w:rsid w:val="1DD86320"/>
    <w:rsid w:val="1EFF5193"/>
    <w:rsid w:val="1F3E25C9"/>
    <w:rsid w:val="1F8905C9"/>
    <w:rsid w:val="1F9A0F77"/>
    <w:rsid w:val="1FEF3071"/>
    <w:rsid w:val="20205D7D"/>
    <w:rsid w:val="2031368A"/>
    <w:rsid w:val="2039362C"/>
    <w:rsid w:val="24875F4B"/>
    <w:rsid w:val="25D6438C"/>
    <w:rsid w:val="25E92311"/>
    <w:rsid w:val="26445799"/>
    <w:rsid w:val="28126A09"/>
    <w:rsid w:val="29B42C36"/>
    <w:rsid w:val="2A6117E0"/>
    <w:rsid w:val="2A8940C2"/>
    <w:rsid w:val="2A9C2048"/>
    <w:rsid w:val="2B975488"/>
    <w:rsid w:val="2BB05A29"/>
    <w:rsid w:val="2BBE1469"/>
    <w:rsid w:val="2D393A69"/>
    <w:rsid w:val="2E0860D1"/>
    <w:rsid w:val="2E402CEA"/>
    <w:rsid w:val="2E5A20BA"/>
    <w:rsid w:val="2ECB5FE2"/>
    <w:rsid w:val="30B27C7B"/>
    <w:rsid w:val="31F44517"/>
    <w:rsid w:val="33D53A32"/>
    <w:rsid w:val="34403FA4"/>
    <w:rsid w:val="34DB5F68"/>
    <w:rsid w:val="35912415"/>
    <w:rsid w:val="371778DF"/>
    <w:rsid w:val="37E62326"/>
    <w:rsid w:val="38A511DA"/>
    <w:rsid w:val="3A1B67E7"/>
    <w:rsid w:val="3A7D6982"/>
    <w:rsid w:val="3C047712"/>
    <w:rsid w:val="3CCC5DA0"/>
    <w:rsid w:val="3CD77495"/>
    <w:rsid w:val="3D4445A5"/>
    <w:rsid w:val="3DC27043"/>
    <w:rsid w:val="3DD1395F"/>
    <w:rsid w:val="3E8C010F"/>
    <w:rsid w:val="3EFD65C9"/>
    <w:rsid w:val="400E2C48"/>
    <w:rsid w:val="403A795B"/>
    <w:rsid w:val="4044389B"/>
    <w:rsid w:val="40C03B09"/>
    <w:rsid w:val="42100EF9"/>
    <w:rsid w:val="42925DB2"/>
    <w:rsid w:val="42D40179"/>
    <w:rsid w:val="434B112E"/>
    <w:rsid w:val="443D1A3B"/>
    <w:rsid w:val="4504286C"/>
    <w:rsid w:val="46C97C03"/>
    <w:rsid w:val="471A188F"/>
    <w:rsid w:val="472B5FAC"/>
    <w:rsid w:val="48AD79E8"/>
    <w:rsid w:val="48F03340"/>
    <w:rsid w:val="4908486B"/>
    <w:rsid w:val="49B06B1E"/>
    <w:rsid w:val="49DC5C4D"/>
    <w:rsid w:val="4A44006F"/>
    <w:rsid w:val="4B3450B1"/>
    <w:rsid w:val="4BFB311F"/>
    <w:rsid w:val="4DA31AFF"/>
    <w:rsid w:val="4DB34E2F"/>
    <w:rsid w:val="50DE6FEF"/>
    <w:rsid w:val="513444D8"/>
    <w:rsid w:val="515756D7"/>
    <w:rsid w:val="52871060"/>
    <w:rsid w:val="52ED4007"/>
    <w:rsid w:val="54210D44"/>
    <w:rsid w:val="54227B28"/>
    <w:rsid w:val="55A27C63"/>
    <w:rsid w:val="560F1B9D"/>
    <w:rsid w:val="57BF2D4E"/>
    <w:rsid w:val="58B74CBC"/>
    <w:rsid w:val="598A3C77"/>
    <w:rsid w:val="5B2814D9"/>
    <w:rsid w:val="5D4D1D73"/>
    <w:rsid w:val="5D972077"/>
    <w:rsid w:val="5E8E770E"/>
    <w:rsid w:val="623B7383"/>
    <w:rsid w:val="63166D1A"/>
    <w:rsid w:val="65922BE0"/>
    <w:rsid w:val="65CF770C"/>
    <w:rsid w:val="680622D3"/>
    <w:rsid w:val="6AC87D14"/>
    <w:rsid w:val="6AF27A26"/>
    <w:rsid w:val="6B2D401B"/>
    <w:rsid w:val="6B686E01"/>
    <w:rsid w:val="6C083654"/>
    <w:rsid w:val="6C094604"/>
    <w:rsid w:val="6C751B3B"/>
    <w:rsid w:val="6DC37643"/>
    <w:rsid w:val="6E182D60"/>
    <w:rsid w:val="6E354925"/>
    <w:rsid w:val="6E4A295F"/>
    <w:rsid w:val="6EAE5472"/>
    <w:rsid w:val="6ED924EF"/>
    <w:rsid w:val="6FE03650"/>
    <w:rsid w:val="70926DFA"/>
    <w:rsid w:val="710B2708"/>
    <w:rsid w:val="724471CD"/>
    <w:rsid w:val="734653CB"/>
    <w:rsid w:val="74963E13"/>
    <w:rsid w:val="75292AD1"/>
    <w:rsid w:val="7553467E"/>
    <w:rsid w:val="760D37CC"/>
    <w:rsid w:val="79870010"/>
    <w:rsid w:val="79E2018B"/>
    <w:rsid w:val="7C7F737F"/>
    <w:rsid w:val="7CF20C20"/>
    <w:rsid w:val="7DD345AE"/>
    <w:rsid w:val="7E921C8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7"/>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18"/>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1"/>
    <w:next w:val="1"/>
    <w:link w:val="19"/>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7">
    <w:name w:val="heading 5"/>
    <w:basedOn w:val="1"/>
    <w:next w:val="1"/>
    <w:link w:val="20"/>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qFormat/>
    <w:uiPriority w:val="0"/>
    <w:pPr>
      <w:spacing w:after="120"/>
      <w:ind w:left="420" w:leftChars="200"/>
    </w:pPr>
    <w:rPr>
      <w:lang w:val="zh-CN"/>
    </w:rPr>
  </w:style>
  <w:style w:type="paragraph" w:styleId="8">
    <w:name w:val="Normal Indent"/>
    <w:basedOn w:val="1"/>
    <w:qFormat/>
    <w:uiPriority w:val="99"/>
    <w:pPr>
      <w:ind w:firstLine="420" w:firstLineChars="200"/>
    </w:pPr>
  </w:style>
  <w:style w:type="paragraph" w:styleId="9">
    <w:name w:val="Plain Text"/>
    <w:basedOn w:val="1"/>
    <w:next w:val="1"/>
    <w:qFormat/>
    <w:uiPriority w:val="0"/>
    <w:rPr>
      <w:rFonts w:ascii="宋体" w:hAnsi="Courier New"/>
      <w:szCs w:val="20"/>
    </w:rPr>
  </w:style>
  <w:style w:type="paragraph" w:styleId="10">
    <w:name w:val="Balloon Text"/>
    <w:basedOn w:val="1"/>
    <w:link w:val="39"/>
    <w:qFormat/>
    <w:uiPriority w:val="0"/>
    <w:rPr>
      <w:sz w:val="18"/>
      <w:szCs w:val="18"/>
    </w:rPr>
  </w:style>
  <w:style w:type="paragraph" w:styleId="11">
    <w:name w:val="footer"/>
    <w:basedOn w:val="1"/>
    <w:link w:val="16"/>
    <w:qFormat/>
    <w:uiPriority w:val="0"/>
    <w:pPr>
      <w:tabs>
        <w:tab w:val="center" w:pos="4153"/>
        <w:tab w:val="right" w:pos="8306"/>
      </w:tabs>
      <w:snapToGrid w:val="0"/>
      <w:jc w:val="left"/>
    </w:pPr>
    <w:rPr>
      <w:sz w:val="18"/>
      <w:szCs w:val="18"/>
    </w:rPr>
  </w:style>
  <w:style w:type="paragraph" w:styleId="12">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character" w:customStyle="1" w:styleId="15">
    <w:name w:val="页眉 Char"/>
    <w:basedOn w:val="14"/>
    <w:link w:val="12"/>
    <w:qFormat/>
    <w:uiPriority w:val="0"/>
    <w:rPr>
      <w:kern w:val="2"/>
      <w:sz w:val="18"/>
      <w:szCs w:val="18"/>
    </w:rPr>
  </w:style>
  <w:style w:type="character" w:customStyle="1" w:styleId="16">
    <w:name w:val="页脚 Char"/>
    <w:basedOn w:val="14"/>
    <w:link w:val="11"/>
    <w:qFormat/>
    <w:uiPriority w:val="0"/>
    <w:rPr>
      <w:kern w:val="2"/>
      <w:sz w:val="18"/>
      <w:szCs w:val="18"/>
    </w:rPr>
  </w:style>
  <w:style w:type="character" w:customStyle="1" w:styleId="17">
    <w:name w:val="标题 2 Char"/>
    <w:basedOn w:val="14"/>
    <w:link w:val="4"/>
    <w:qFormat/>
    <w:uiPriority w:val="0"/>
    <w:rPr>
      <w:rFonts w:ascii="Book Antiqua" w:hAnsi="Book Antiqua" w:eastAsia="黑体" w:cs="Book Antiqua"/>
      <w:bCs/>
      <w:sz w:val="36"/>
      <w:szCs w:val="36"/>
      <w:lang w:eastAsia="en-US"/>
    </w:rPr>
  </w:style>
  <w:style w:type="character" w:customStyle="1" w:styleId="18">
    <w:name w:val="标题 3 Char"/>
    <w:basedOn w:val="14"/>
    <w:link w:val="5"/>
    <w:qFormat/>
    <w:uiPriority w:val="0"/>
    <w:rPr>
      <w:rFonts w:ascii="Book Antiqua" w:hAnsi="Book Antiqua" w:eastAsia="黑体" w:cs="宋体"/>
      <w:sz w:val="32"/>
      <w:szCs w:val="32"/>
    </w:rPr>
  </w:style>
  <w:style w:type="character" w:customStyle="1" w:styleId="19">
    <w:name w:val="标题 4 Char"/>
    <w:basedOn w:val="14"/>
    <w:link w:val="6"/>
    <w:qFormat/>
    <w:uiPriority w:val="0"/>
    <w:rPr>
      <w:rFonts w:ascii="Book Antiqua" w:hAnsi="Book Antiqua" w:eastAsia="黑体" w:cs="宋体"/>
      <w:sz w:val="28"/>
      <w:szCs w:val="28"/>
    </w:rPr>
  </w:style>
  <w:style w:type="character" w:customStyle="1" w:styleId="20">
    <w:name w:val="标题 5 Char"/>
    <w:basedOn w:val="14"/>
    <w:link w:val="7"/>
    <w:qFormat/>
    <w:uiPriority w:val="0"/>
    <w:rPr>
      <w:rFonts w:ascii="Book Antiqua" w:hAnsi="Book Antiqua" w:eastAsia="黑体" w:cs="宋体"/>
      <w:sz w:val="24"/>
      <w:szCs w:val="24"/>
    </w:rPr>
  </w:style>
  <w:style w:type="paragraph" w:styleId="21">
    <w:name w:val="List Paragraph"/>
    <w:basedOn w:val="1"/>
    <w:link w:val="22"/>
    <w:qFormat/>
    <w:uiPriority w:val="34"/>
    <w:pPr>
      <w:ind w:firstLine="420" w:firstLineChars="200"/>
    </w:pPr>
    <w:rPr>
      <w:rFonts w:asciiTheme="minorHAnsi" w:hAnsiTheme="minorHAnsi" w:eastAsiaTheme="minorEastAsia" w:cstheme="minorBidi"/>
      <w:szCs w:val="22"/>
    </w:rPr>
  </w:style>
  <w:style w:type="character" w:customStyle="1" w:styleId="22">
    <w:name w:val="列出段落 Char"/>
    <w:link w:val="21"/>
    <w:qFormat/>
    <w:uiPriority w:val="34"/>
    <w:rPr>
      <w:rFonts w:asciiTheme="minorHAnsi" w:hAnsiTheme="minorHAnsi" w:eastAsiaTheme="minorEastAsia" w:cstheme="minorBidi"/>
      <w:kern w:val="2"/>
      <w:sz w:val="21"/>
      <w:szCs w:val="22"/>
    </w:rPr>
  </w:style>
  <w:style w:type="character" w:customStyle="1" w:styleId="23">
    <w:name w:val="Item Step in table Char Char"/>
    <w:link w:val="24"/>
    <w:qFormat/>
    <w:uiPriority w:val="0"/>
    <w:rPr>
      <w:rFonts w:cs="Arial"/>
      <w:bCs/>
      <w:szCs w:val="28"/>
    </w:rPr>
  </w:style>
  <w:style w:type="paragraph" w:customStyle="1" w:styleId="24">
    <w:name w:val="Item Step in table"/>
    <w:basedOn w:val="7"/>
    <w:link w:val="23"/>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5">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6">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7">
    <w:name w:val="Table Text Char"/>
    <w:link w:val="28"/>
    <w:qFormat/>
    <w:uiPriority w:val="0"/>
    <w:rPr>
      <w:rFonts w:cs="Arial"/>
      <w:szCs w:val="21"/>
    </w:rPr>
  </w:style>
  <w:style w:type="paragraph" w:customStyle="1" w:styleId="28">
    <w:name w:val="Table Text"/>
    <w:basedOn w:val="1"/>
    <w:link w:val="27"/>
    <w:qFormat/>
    <w:uiPriority w:val="0"/>
    <w:pPr>
      <w:topLinePunct/>
      <w:adjustRightInd w:val="0"/>
      <w:snapToGrid w:val="0"/>
      <w:spacing w:before="80" w:after="80" w:line="240" w:lineRule="atLeast"/>
      <w:jc w:val="left"/>
    </w:pPr>
    <w:rPr>
      <w:rFonts w:cs="Arial"/>
      <w:kern w:val="0"/>
      <w:sz w:val="20"/>
      <w:szCs w:val="21"/>
    </w:rPr>
  </w:style>
  <w:style w:type="paragraph" w:customStyle="1" w:styleId="29">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0">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1">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2">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3">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5">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6">
    <w:name w:val="Notes Text Step"/>
    <w:basedOn w:val="30"/>
    <w:qFormat/>
    <w:uiPriority w:val="0"/>
    <w:pPr>
      <w:numPr>
        <w:ilvl w:val="6"/>
      </w:numPr>
      <w:pBdr>
        <w:bottom w:val="none" w:color="auto" w:sz="0" w:space="0"/>
      </w:pBdr>
      <w:spacing w:before="40" w:line="200" w:lineRule="atLeast"/>
    </w:pPr>
    <w:rPr>
      <w:sz w:val="18"/>
      <w:szCs w:val="18"/>
    </w:rPr>
  </w:style>
  <w:style w:type="paragraph" w:customStyle="1" w:styleId="37">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8">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39">
    <w:name w:val="批注框文本 Char"/>
    <w:basedOn w:val="14"/>
    <w:link w:val="10"/>
    <w:qFormat/>
    <w:uiPriority w:val="0"/>
    <w:rPr>
      <w:kern w:val="2"/>
      <w:sz w:val="18"/>
      <w:szCs w:val="18"/>
    </w:rPr>
  </w:style>
  <w:style w:type="paragraph" w:customStyle="1" w:styleId="40">
    <w:name w:val="样式 宋体 小四 行距: 1.5 倍行距 首行缩进:  2 字符"/>
    <w:basedOn w:val="1"/>
    <w:qFormat/>
    <w:uiPriority w:val="99"/>
    <w:pPr>
      <w:spacing w:line="360" w:lineRule="auto"/>
      <w:ind w:firstLine="480" w:firstLineChars="200"/>
    </w:pPr>
    <w:rPr>
      <w:rFonts w:ascii="Times New Roman" w:hAnsi="Times New Roman" w:cs="宋体"/>
    </w:rPr>
  </w:style>
  <w:style w:type="character" w:customStyle="1" w:styleId="41">
    <w:name w:val="font21"/>
    <w:basedOn w:val="14"/>
    <w:qFormat/>
    <w:uiPriority w:val="0"/>
    <w:rPr>
      <w:rFonts w:hint="eastAsia" w:ascii="宋体" w:hAnsi="宋体" w:eastAsia="宋体" w:cs="宋体"/>
      <w:color w:val="000000"/>
      <w:sz w:val="20"/>
      <w:szCs w:val="20"/>
      <w:u w:val="none"/>
    </w:rPr>
  </w:style>
  <w:style w:type="character" w:customStyle="1" w:styleId="42">
    <w:name w:val="font31"/>
    <w:basedOn w:val="14"/>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450</Words>
  <Characters>509</Characters>
  <Lines>61</Lines>
  <Paragraphs>17</Paragraphs>
  <TotalTime>2</TotalTime>
  <ScaleCrop>false</ScaleCrop>
  <LinksUpToDate>false</LinksUpToDate>
  <CharactersWithSpaces>567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卢斌</cp:lastModifiedBy>
  <cp:lastPrinted>2022-10-20T06:50:00Z</cp:lastPrinted>
  <dcterms:modified xsi:type="dcterms:W3CDTF">2023-07-20T01:05:40Z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B75484C30A0D48A998196F431A9A3E69</vt:lpwstr>
  </property>
</Properties>
</file>