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配电箱、配电柜等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746"/>
        <w:gridCol w:w="1175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6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807-3-3-1-1</w:t>
            </w:r>
          </w:p>
        </w:tc>
        <w:tc>
          <w:tcPr>
            <w:tcW w:w="1746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室内监控配电箱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7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807-3-3-1-2</w:t>
            </w:r>
          </w:p>
        </w:tc>
        <w:tc>
          <w:tcPr>
            <w:tcW w:w="1746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监控室配电箱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807-3-3-1-3</w:t>
            </w:r>
          </w:p>
        </w:tc>
        <w:tc>
          <w:tcPr>
            <w:tcW w:w="1746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收费广场配电箱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24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807-3-3-1-4</w:t>
            </w:r>
          </w:p>
        </w:tc>
        <w:tc>
          <w:tcPr>
            <w:tcW w:w="1746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收费车道配电盘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54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807-3-3-2</w:t>
            </w:r>
          </w:p>
        </w:tc>
        <w:tc>
          <w:tcPr>
            <w:tcW w:w="1746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室内配电箱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7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807-3-3-3</w:t>
            </w:r>
          </w:p>
        </w:tc>
        <w:tc>
          <w:tcPr>
            <w:tcW w:w="1746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室外配电箱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49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807-3-3-18</w:t>
            </w:r>
          </w:p>
        </w:tc>
        <w:tc>
          <w:tcPr>
            <w:tcW w:w="1746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UPS配电柜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7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807-3-4-12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室内综合配电柜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807-3-4-13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外场综合配电柜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14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394290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adjustRightInd w:val="0"/>
        <w:snapToGrid w:val="0"/>
        <w:spacing w:line="360" w:lineRule="auto"/>
        <w:ind w:firstLine="495" w:firstLineChars="235"/>
        <w:outlineLvl w:val="5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807-3-3-1-1 室内监控配电箱（外场设备供电7</w:t>
      </w:r>
      <w:r>
        <w:rPr>
          <w:rFonts w:ascii="宋体" w:hAnsi="宋体" w:cs="宋体"/>
          <w:b/>
        </w:rPr>
        <w:t>50V</w:t>
      </w:r>
      <w:r>
        <w:rPr>
          <w:rFonts w:hint="eastAsia" w:ascii="宋体" w:hAnsi="宋体" w:cs="宋体"/>
          <w:b/>
        </w:rPr>
        <w:t>直流）</w:t>
      </w:r>
    </w:p>
    <w:p>
      <w:pPr>
        <w:adjustRightInd w:val="0"/>
        <w:snapToGrid w:val="0"/>
        <w:spacing w:line="360" w:lineRule="auto"/>
        <w:ind w:firstLine="493" w:firstLineChars="235"/>
        <w:outlineLvl w:val="5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1.主要技术指标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配电箱采用落地或挂墙方式安装。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防护等级IP65，进出线孔密封、防水处理。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箱体采用不低于1.8mm厚亚光不锈钢板材料制作，采用双层结构，内箱体采用全封闭方式，具有良好的散热性，外箱体应具有完整的框架结构，箱体不能自燃或助燃。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箱体须采用前门方式，以便做到正面维修；箱体门设置专用密封胶条，箱体门应有自动锁定装置。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箱体底部预留进线位置、通风部位安装过滤网。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箱体尺寸根据需要及基础大小定制，配电箱内放置断路器、接线端子，以及各类浪涌保护器等。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配电箱含断路器、接线端子；断路器根据用电设备选配；接线端子满足设备接线需要并留有一定剩余。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箱体与其它金属构件需接地良好。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箱体外喷涂设备编号。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未详尽之处详见GB/T15139-1994《电子设备结构总技术条件》、IEC61587-1：1999《电子设备机柜结构》等规范。</w:t>
      </w:r>
    </w:p>
    <w:p>
      <w:pPr>
        <w:adjustRightInd w:val="0"/>
        <w:snapToGrid w:val="0"/>
        <w:spacing w:line="360" w:lineRule="auto"/>
        <w:ind w:firstLine="493" w:firstLineChars="235"/>
        <w:outlineLvl w:val="5"/>
        <w:rPr>
          <w:rFonts w:hint="eastAsia" w:ascii="宋体" w:hAnsi="宋体" w:cs="宋体"/>
        </w:rPr>
      </w:pPr>
      <w:r>
        <w:rPr>
          <w:rFonts w:hint="eastAsia" w:ascii="宋体" w:hAnsi="宋体" w:cs="宋体"/>
          <w:szCs w:val="32"/>
        </w:rPr>
        <w:t>2.施工要求与注意事项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施工完毕后，箱内进出线管道口应堵塞，以避免进水；</w:t>
      </w:r>
    </w:p>
    <w:p>
      <w:pPr>
        <w:numPr>
          <w:ilvl w:val="0"/>
          <w:numId w:val="5"/>
        </w:numPr>
        <w:tabs>
          <w:tab w:val="left" w:pos="1200"/>
          <w:tab w:val="left" w:pos="1440"/>
        </w:tabs>
        <w:adjustRightInd w:val="0"/>
        <w:snapToGrid w:val="0"/>
        <w:spacing w:line="360" w:lineRule="auto"/>
        <w:ind w:left="1187" w:hanging="227"/>
        <w:jc w:val="left"/>
        <w:outlineLvl w:val="5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Cs/>
        </w:rPr>
        <w:t>做好箱体接地极。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807-3-3-1-2 监控室配电箱（机房UPS 收费用 常规交流3</w:t>
      </w:r>
      <w:r>
        <w:rPr>
          <w:rFonts w:ascii="宋体" w:hAnsi="宋体" w:cs="宋体"/>
          <w:b/>
        </w:rPr>
        <w:t>80</w:t>
      </w:r>
      <w:r>
        <w:rPr>
          <w:rFonts w:hint="eastAsia" w:ascii="宋体" w:hAnsi="宋体" w:cs="宋体"/>
          <w:b/>
        </w:rPr>
        <w:t>）</w:t>
      </w:r>
    </w:p>
    <w:p>
      <w:pPr>
        <w:adjustRightInd w:val="0"/>
        <w:snapToGrid w:val="0"/>
        <w:spacing w:line="360" w:lineRule="auto"/>
        <w:ind w:left="420" w:leftChars="200" w:firstLine="420" w:firstLineChars="200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</w:rPr>
        <w:t>含箱体、断路器等，不锈钢箱体，箱体外喷涂设备编号，其他要求同“807-3-3-1-1”。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807-3-3-1-3 收费广场配电箱（常规交流3</w:t>
      </w:r>
      <w:r>
        <w:rPr>
          <w:rFonts w:ascii="宋体" w:hAnsi="宋体" w:cs="宋体"/>
          <w:b/>
        </w:rPr>
        <w:t>80</w:t>
      </w:r>
      <w:r>
        <w:rPr>
          <w:rFonts w:hint="eastAsia" w:ascii="宋体" w:hAnsi="宋体" w:cs="宋体"/>
          <w:b/>
        </w:rPr>
        <w:t>）</w:t>
      </w:r>
    </w:p>
    <w:p>
      <w:pPr>
        <w:adjustRightInd w:val="0"/>
        <w:snapToGrid w:val="0"/>
        <w:spacing w:line="360" w:lineRule="auto"/>
        <w:ind w:firstLine="493" w:firstLineChars="235"/>
        <w:outlineLvl w:val="5"/>
        <w:rPr>
          <w:rFonts w:hint="eastAsia"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1.主要技术指标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配电箱采用落地安装，安装在专用基础上。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全天候防风、雨型箱体，防护等级IP65，进出线孔密封、防水处理。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箱体采用不低于1.8mm厚亚光不锈钢板材料制作，表面脱脂、酸洗、大型静电喷塑处理，采用双层结构，内箱体采用全封闭方式，具有良好的散热性，外箱体应具有完整的框架结构，箱体不能自燃或助燃。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箱体须采用前门方式，以便做到正面维修；箱体门设置专用密封胶条，箱体门应有自动锁定装置。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箱体底部预留进线位置、通风部位安装过滤网。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箱体尺寸根据需要及基础大小定制，配电箱内放置断路器、接线端子，以及各类浪涌保护器等。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配电箱含断路器、接线端子；断路器根据用电设备选配；接线端子满足设备接线需要并留有一定剩余。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箱体与其它金属构件需接地良好。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箱体外喷涂设备编号。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未详尽之处详见GB/T15139-1994《电子设备结构总技术条件》、IEC61587-1：1999《电子设备机柜结构》等规范。</w:t>
      </w:r>
    </w:p>
    <w:p>
      <w:pPr>
        <w:adjustRightInd w:val="0"/>
        <w:snapToGrid w:val="0"/>
        <w:spacing w:line="360" w:lineRule="auto"/>
        <w:ind w:firstLine="493" w:firstLineChars="235"/>
        <w:outlineLvl w:val="5"/>
        <w:rPr>
          <w:rFonts w:hint="eastAsia" w:ascii="宋体" w:hAnsi="宋体" w:cs="宋体"/>
        </w:rPr>
      </w:pPr>
      <w:r>
        <w:rPr>
          <w:rFonts w:hint="eastAsia" w:ascii="宋体" w:hAnsi="宋体" w:cs="宋体"/>
          <w:szCs w:val="32"/>
        </w:rPr>
        <w:t>2.施工要求与注意事项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基础由收费岛土建一起完成。采用明挖法施工，基底应先整平、夯实、控制好标高，基础顶面可高于周边5～10cm，以利于排水。施工完毕后，基础周边应分层回填夯实。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基础采用混凝土现场浇注。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施工完毕后，露出基础的管道应堵塞，以避免进水；外露的地脚螺栓外露长度宜控制在80～100mm以内，并对外露螺纹部分加以妥善保护，采用C20混凝土包封，对于破坏的路基、护坡等应加以恢复。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947" w:hanging="227"/>
        <w:jc w:val="left"/>
        <w:outlineLvl w:val="5"/>
        <w:rPr>
          <w:rFonts w:hint="eastAsia" w:ascii="宋体" w:hAnsi="宋体" w:cs="宋体"/>
          <w:bCs/>
        </w:rPr>
      </w:pPr>
      <w:r>
        <w:rPr>
          <w:rFonts w:hint="eastAsia" w:ascii="宋体" w:hAnsi="宋体" w:cs="宋体"/>
          <w:bCs/>
        </w:rPr>
        <w:t>接地极利用收费广场地网。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807-3-3-1-4 收费车道配电盘（常规交流2</w:t>
      </w:r>
      <w:r>
        <w:rPr>
          <w:rFonts w:ascii="宋体" w:hAnsi="宋体" w:cs="宋体"/>
          <w:b/>
        </w:rPr>
        <w:t>20</w:t>
      </w:r>
      <w:r>
        <w:rPr>
          <w:rFonts w:hint="eastAsia" w:ascii="宋体" w:hAnsi="宋体" w:cs="宋体"/>
          <w:b/>
        </w:rPr>
        <w:t>V收费亭安装）</w:t>
      </w:r>
    </w:p>
    <w:p>
      <w:pPr>
        <w:adjustRightInd w:val="0"/>
        <w:snapToGrid w:val="0"/>
        <w:spacing w:line="360" w:lineRule="auto"/>
        <w:ind w:left="420" w:leftChars="200" w:firstLine="420" w:firstLineChars="200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</w:rPr>
        <w:t>含箱体、断路器等，不锈钢箱体，箱体外喷涂设备编号，其他要求同“807-3-3-1-3”。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807-3-3-2 室内配电箱（隧道电房市电配电箱）</w:t>
      </w:r>
    </w:p>
    <w:p>
      <w:pPr>
        <w:spacing w:line="312" w:lineRule="auto"/>
        <w:ind w:firstLine="831" w:firstLineChars="3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</w:rPr>
        <w:t>含箱体、断路器等，不锈钢箱体，箱体外喷涂编号，其他要求同“807-3-3-1-1”。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807-3-3-3 室外配电箱（隧道洞内外设备箱）</w:t>
      </w:r>
    </w:p>
    <w:p>
      <w:pPr>
        <w:adjustRightInd w:val="0"/>
        <w:snapToGrid w:val="0"/>
        <w:spacing w:line="360" w:lineRule="auto"/>
        <w:ind w:left="420" w:leftChars="200" w:firstLine="420" w:firstLineChars="200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</w:rPr>
        <w:t>含箱体、断路器等，不锈钢箱体，箱体外喷涂设备编号，其他要求同“807-3-3-1-3”。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807-3-3-4 直流柜配电箱（双电源切换柜）</w:t>
      </w:r>
    </w:p>
    <w:p>
      <w:pPr>
        <w:spacing w:line="312" w:lineRule="auto"/>
        <w:ind w:firstLine="831" w:firstLineChars="3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</w:rPr>
        <w:t>含箱体、断路器等，不锈钢箱体，箱体外喷涂编号，其他要求同“807-3-3-1-1”。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807-3-3-18 UPS配电柜（隧道UPS出线配电箱）</w:t>
      </w:r>
    </w:p>
    <w:p>
      <w:pPr>
        <w:spacing w:line="312" w:lineRule="auto"/>
        <w:ind w:firstLine="420" w:firstLineChars="200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</w:rPr>
        <w:t>含箱体、断路器等，不锈钢箱体，箱体外喷涂编号，其他要求同“807-3-3-1-1”。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807-3-4-6 室内综合配电柜（ETC门架机房端 直流7</w:t>
      </w:r>
      <w:r>
        <w:rPr>
          <w:rFonts w:ascii="宋体" w:hAnsi="宋体" w:cs="宋体"/>
          <w:b/>
        </w:rPr>
        <w:t>50</w:t>
      </w:r>
      <w:r>
        <w:rPr>
          <w:rFonts w:hint="eastAsia" w:ascii="宋体" w:hAnsi="宋体" w:cs="宋体"/>
          <w:b/>
        </w:rPr>
        <w:t>）</w:t>
      </w:r>
    </w:p>
    <w:p>
      <w:pPr>
        <w:spacing w:line="312" w:lineRule="auto"/>
        <w:ind w:firstLine="831" w:firstLineChars="3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</w:rPr>
        <w:t>要求同“807-3-4-4”。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807-3-4-7 外场综合配电柜（ETC门架设备端 直流7</w:t>
      </w:r>
      <w:r>
        <w:rPr>
          <w:rFonts w:ascii="宋体" w:hAnsi="宋体" w:cs="宋体"/>
          <w:b/>
        </w:rPr>
        <w:t>50</w:t>
      </w:r>
      <w:r>
        <w:rPr>
          <w:rFonts w:hint="eastAsia" w:ascii="宋体" w:hAnsi="宋体" w:cs="宋体"/>
          <w:b/>
        </w:rPr>
        <w:t>）</w:t>
      </w:r>
    </w:p>
    <w:p>
      <w:pPr>
        <w:spacing w:line="312" w:lineRule="auto"/>
        <w:ind w:firstLine="831" w:firstLineChars="396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</w:rPr>
        <w:t>要求同“807-3-4-4”。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07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02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30</w:t>
      </w:r>
      <w:r>
        <w:rPr>
          <w:color w:val="000000"/>
          <w:sz w:val="24"/>
        </w:rPr>
        <w:t>日</w:t>
      </w: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martSimSun">
    <w:altName w:val="宋体"/>
    <w:panose1 w:val="02010600030101010101"/>
    <w:charset w:val="86"/>
    <w:family w:val="auto"/>
    <w:pitch w:val="default"/>
    <w:sig w:usb0="00000000" w:usb1="0000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BEE5155"/>
    <w:multiLevelType w:val="multilevel"/>
    <w:tmpl w:val="6BEE5155"/>
    <w:lvl w:ilvl="0" w:tentative="0">
      <w:start w:val="1"/>
      <w:numFmt w:val="bullet"/>
      <w:lvlText w:val="-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chineseCountingThousand"/>
      <w:lvlText w:val="%2、"/>
      <w:lvlJc w:val="left"/>
      <w:pPr>
        <w:ind w:left="840" w:hanging="420"/>
      </w:pPr>
      <w:rPr>
        <w:rFonts w:cs="Times New Roman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2" w:tentative="0">
      <w:start w:val="1"/>
      <w:numFmt w:val="decimal"/>
      <w:lvlText w:val="（%3）"/>
      <w:lvlJc w:val="left"/>
      <w:pPr>
        <w:tabs>
          <w:tab w:val="left" w:pos="1560"/>
        </w:tabs>
        <w:ind w:left="1560" w:hanging="720"/>
      </w:p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A69025B"/>
    <w:rsid w:val="0C0C29EB"/>
    <w:rsid w:val="0D5B3C11"/>
    <w:rsid w:val="0DA26991"/>
    <w:rsid w:val="0ECB4993"/>
    <w:rsid w:val="112A7044"/>
    <w:rsid w:val="12ED5CBA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92922C2"/>
    <w:rsid w:val="2938496E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1787</Words>
  <Characters>2198</Characters>
  <Lines>61</Lines>
  <Paragraphs>17</Paragraphs>
  <TotalTime>6</TotalTime>
  <ScaleCrop>false</ScaleCrop>
  <LinksUpToDate>false</LinksUpToDate>
  <CharactersWithSpaces>2271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2023-06-30T01:18:27Z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