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CPC卡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70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8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88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802-1-3</w:t>
            </w:r>
          </w:p>
        </w:tc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通行卡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张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9000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bCs/>
          <w:snapToGrid w:val="0"/>
          <w:kern w:val="0"/>
          <w:sz w:val="24"/>
        </w:rPr>
        <w:t>最高限价：元。</w:t>
      </w:r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tabs>
          <w:tab w:val="left" w:pos="567"/>
        </w:tabs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</w:rPr>
      </w:pPr>
    </w:p>
    <w:p>
      <w:pPr>
        <w:spacing w:line="360" w:lineRule="auto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802-1 非接触IC卡</w:t>
      </w:r>
    </w:p>
    <w:p>
      <w:pPr>
        <w:spacing w:line="360" w:lineRule="auto"/>
        <w:jc w:val="lef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802-1-3 通行卡</w:t>
      </w:r>
    </w:p>
    <w:p>
      <w:pPr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一、功能要求</w:t>
      </w: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cs="宋体"/>
          <w:snapToGrid w:val="0"/>
          <w:sz w:val="24"/>
        </w:rPr>
      </w:pPr>
      <w:r>
        <w:rPr>
          <w:rFonts w:hint="eastAsia" w:ascii="宋体" w:hAnsi="宋体" w:cs="宋体"/>
          <w:snapToGrid w:val="0"/>
          <w:sz w:val="24"/>
        </w:rPr>
        <w:t>本项目通行券采用复合通行卡（CPC），复合通行卡又称双频通行卡，具有13.56MHz 非接触IC 模块和5.8GHz 射频模块的通行卡，用于记录车辆高速公路网的入口信息和路径信息。5.8GHz 射频模块采用DSRC 技术。</w:t>
      </w: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cs="宋体"/>
          <w:snapToGrid w:val="0"/>
          <w:sz w:val="24"/>
        </w:rPr>
      </w:pPr>
      <w:r>
        <w:rPr>
          <w:rFonts w:hint="eastAsia" w:ascii="宋体" w:hAnsi="宋体" w:cs="宋体"/>
          <w:snapToGrid w:val="0"/>
          <w:sz w:val="24"/>
        </w:rPr>
        <w:t>复合通行卡（ CPC ） 应符合国际标准ISO/IEC14443TYPE-A 、GB/T20851.2 、GB/T20851.3、交通部第43 号公告《高速公路复合通行卡（CPC）技术要求》的要求，国际标准未能描述的部分应最大限度地符合广东省的实际情况，保证联网收费系统的顺畅运行。</w:t>
      </w: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cs="宋体"/>
          <w:snapToGrid w:val="0"/>
          <w:sz w:val="24"/>
        </w:rPr>
      </w:pPr>
      <w:r>
        <w:rPr>
          <w:rFonts w:hint="eastAsia" w:ascii="宋体" w:hAnsi="宋体" w:cs="宋体"/>
          <w:snapToGrid w:val="0"/>
          <w:sz w:val="24"/>
        </w:rPr>
        <w:t>复合通行卡（CPC）外表的明文图案由发包人确定，明文图案应确保在正常情况下，图案不能剥落。不同用途的复合通行卡应有不同图案和明文编号。</w:t>
      </w:r>
    </w:p>
    <w:p>
      <w:pPr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二、主要技术指标</w:t>
      </w:r>
    </w:p>
    <w:p>
      <w:pPr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(1)物理层要求</w:t>
      </w:r>
    </w:p>
    <w:p>
      <w:pPr>
        <w:ind w:firstLine="480" w:firstLineChars="200"/>
        <w:jc w:val="left"/>
        <w:rPr>
          <w:rFonts w:hint="eastAsia" w:ascii="Calibri-Bold" w:hAnsi="Calibri-Bold" w:eastAsia="Calibri-Bold"/>
          <w:sz w:val="20"/>
        </w:rPr>
      </w:pPr>
      <w:r>
        <w:rPr>
          <w:rFonts w:hint="eastAsia" w:ascii="宋体" w:hAnsi="宋体"/>
          <w:sz w:val="24"/>
        </w:rPr>
        <w:t>复合通行卡：由13.56MHzMifare1 非接触IC 卡和5.8GHz 有源射频电子标签两部分组成，IC 卡部分用于存储车辆驶入高速公路路网入口站点、时间、车型等相关入口信息，标签部分用于存储车辆在路网中行驶的路径信息。</w:t>
      </w:r>
    </w:p>
    <w:p>
      <w:pPr>
        <w:jc w:val="left"/>
        <w:rPr>
          <w:rFonts w:hint="eastAsia" w:ascii="宋体" w:hAnsi="宋体"/>
          <w:sz w:val="24"/>
        </w:rPr>
      </w:pP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541"/>
        <w:gridCol w:w="2730"/>
        <w:gridCol w:w="42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序号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  标</w:t>
            </w:r>
          </w:p>
        </w:tc>
        <w:tc>
          <w:tcPr>
            <w:tcW w:w="424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4271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载波频率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信道1:5.79GHz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27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信道2:5.80GHz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频率容限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±200ppm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占用带宽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≤5MHz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e.i.r.p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≤+10dbm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</w:t>
            </w:r>
          </w:p>
        </w:tc>
        <w:tc>
          <w:tcPr>
            <w:tcW w:w="1541" w:type="dxa"/>
            <w:vMerge w:val="restart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杂散发射</w:t>
            </w:r>
          </w:p>
        </w:tc>
        <w:tc>
          <w:tcPr>
            <w:tcW w:w="2730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30MHz-1000MHz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≤-36dbm/100kHz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541" w:type="dxa"/>
            <w:vMerge w:val="continue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730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2400MHz-2483.5MHz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≤-40dbm/1MHz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541" w:type="dxa"/>
            <w:vMerge w:val="continue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730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3400MHz-3530MHz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≤-40dbm/1MHz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541" w:type="dxa"/>
            <w:vMerge w:val="continue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730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5725MHz-5850MHz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≤—33dbm/100kHz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2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541" w:type="dxa"/>
            <w:vMerge w:val="continue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730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其他1GHZ-20GHz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≤—30dbm/1MHz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邻道泄露功率比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≤-30db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天线极化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线极化或右旋圆极化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</w:t>
            </w:r>
          </w:p>
        </w:tc>
        <w:tc>
          <w:tcPr>
            <w:tcW w:w="1541" w:type="dxa"/>
            <w:vMerge w:val="restart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天线方向性</w:t>
            </w:r>
          </w:p>
        </w:tc>
        <w:tc>
          <w:tcPr>
            <w:tcW w:w="2730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水平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全向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541" w:type="dxa"/>
            <w:vMerge w:val="continue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730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垂直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全向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调制方式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ASK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调制系数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0.7～0.9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11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编码方式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FM0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12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位速率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512kbit/s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13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位时钟精度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±1000×10^-6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14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唤醒方式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14k 方波唤醒或者正常通信帧信号唤醒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15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唤醒灵敏度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-50dBm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接收灵敏度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≤-65dBm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17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接收带宽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5.825GHz～5.845GHz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18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BER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10×10^-6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19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前导码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 位“1”加16 位“0”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</w:t>
            </w:r>
          </w:p>
        </w:tc>
        <w:tc>
          <w:tcPr>
            <w:tcW w:w="42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后导码</w:t>
            </w:r>
          </w:p>
        </w:tc>
        <w:tc>
          <w:tcPr>
            <w:tcW w:w="4249" w:type="dxa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最多8 位</w:t>
            </w:r>
          </w:p>
        </w:tc>
      </w:tr>
    </w:tbl>
    <w:p>
      <w:pPr>
        <w:jc w:val="left"/>
        <w:rPr>
          <w:rFonts w:hint="eastAsia" w:ascii="宋体" w:hAnsi="宋体" w:cs="宋体"/>
          <w:sz w:val="24"/>
        </w:rPr>
      </w:pPr>
    </w:p>
    <w:p>
      <w:pPr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(2)系统应用要求</w:t>
      </w:r>
    </w:p>
    <w:p>
      <w:pPr>
        <w:jc w:val="left"/>
        <w:rPr>
          <w:rFonts w:hint="eastAsia" w:ascii="宋体" w:hAnsi="宋体"/>
          <w:sz w:val="24"/>
        </w:r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2002"/>
        <w:gridCol w:w="6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功能及性能</w:t>
            </w:r>
          </w:p>
        </w:tc>
        <w:tc>
          <w:tcPr>
            <w:tcW w:w="640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指标要求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路径标识功能</w:t>
            </w:r>
          </w:p>
        </w:tc>
        <w:tc>
          <w:tcPr>
            <w:tcW w:w="6406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准确接收RSIU 发送的路径信息并保存在非易失性存储体中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IC 卡功能</w:t>
            </w:r>
          </w:p>
        </w:tc>
        <w:tc>
          <w:tcPr>
            <w:tcW w:w="6406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符合ISO/IEC 14443 TYPE A 标准；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存储容量：≥3K bytes；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读写距离：≥50mm。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数据存储</w:t>
            </w:r>
          </w:p>
        </w:tc>
        <w:tc>
          <w:tcPr>
            <w:tcW w:w="6406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存储介质为： 非易失性存储体；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路径存储有效容量：≥512 字节；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支持10 万次以上的擦写操作； 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具有安全访问控制机制；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支持《广东省高速公路联网收费系统》（DB44/T1793-2016） 中密钥及其安全体系。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模式设置</w:t>
            </w:r>
          </w:p>
        </w:tc>
        <w:tc>
          <w:tcPr>
            <w:tcW w:w="6406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具有休眠和唤醒两种模式； 模式可自动切换或通过CR 设置；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支持微波唤醒， 定时周期唤醒功能可选。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无线通信</w:t>
            </w:r>
          </w:p>
        </w:tc>
        <w:tc>
          <w:tcPr>
            <w:tcW w:w="6406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通信速率：250kbps；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具有严密的校验机制；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通信距离：≥200m。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MingLiU_HKSCS"/>
                <w:sz w:val="24"/>
                <w:lang w:val="zh-CN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MingLiU_HKSCS"/>
                <w:sz w:val="24"/>
                <w:lang w:val="zh-CN"/>
              </w:rPr>
            </w:pPr>
            <w:r>
              <w:rPr>
                <w:rFonts w:hint="eastAsia" w:ascii="宋体" w:hAnsi="宋体"/>
                <w:sz w:val="24"/>
              </w:rPr>
              <w:t>安全性</w:t>
            </w:r>
          </w:p>
        </w:tc>
        <w:tc>
          <w:tcPr>
            <w:tcW w:w="6406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CPC 卡所有初始化数据应采用安全保护方式写入；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CPC 卡应支持SM4 国产对称密码算法的数据存取和访问控制；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CPC 卡应提供安全访问模块或达到同等安全等级的芯片。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使用寿命</w:t>
            </w:r>
          </w:p>
        </w:tc>
        <w:tc>
          <w:tcPr>
            <w:tcW w:w="6406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≥5 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电量检测</w:t>
            </w:r>
          </w:p>
        </w:tc>
        <w:tc>
          <w:tcPr>
            <w:tcW w:w="6406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具有电量检测模块， 精度到毫伏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外形尺寸</w:t>
            </w:r>
          </w:p>
        </w:tc>
        <w:tc>
          <w:tcPr>
            <w:tcW w:w="6406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长× 宽为85.5mm×54mm， 厚度不大于5mm（ 误差±0.2mm）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</w:t>
            </w:r>
          </w:p>
        </w:tc>
        <w:tc>
          <w:tcPr>
            <w:tcW w:w="20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环境条件</w:t>
            </w:r>
          </w:p>
        </w:tc>
        <w:tc>
          <w:tcPr>
            <w:tcW w:w="6406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工作温度：-25℃～+75℃；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相对工作湿度：5％～100％；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静电：≥8kV；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振动：应符合GB/T 2423.13； 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冲击：应符合GB/T 2423.6 试验Eb 和导则；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防水等级：P65；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防紫外线老化。</w:t>
            </w:r>
          </w:p>
        </w:tc>
      </w:tr>
    </w:tbl>
    <w:p>
      <w:pPr>
        <w:ind w:firstLine="480" w:firstLineChars="200"/>
        <w:jc w:val="left"/>
        <w:rPr>
          <w:rFonts w:hint="eastAsia" w:ascii="宋体" w:hAnsi="宋体"/>
          <w:sz w:val="24"/>
        </w:rPr>
      </w:pPr>
    </w:p>
    <w:p>
      <w:pPr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(3)发行及管理</w:t>
      </w:r>
    </w:p>
    <w:p>
      <w:pPr>
        <w:ind w:firstLine="960" w:firstLineChars="4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1) 通行卡（CPC）统一由省联网收费结算中心进行初始化、注销。</w:t>
      </w:r>
    </w:p>
    <w:p>
      <w:pPr>
        <w:ind w:firstLine="960" w:firstLineChars="4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2) 通行卡（</w:t>
      </w:r>
      <w:r>
        <w:rPr>
          <w:rFonts w:hint="eastAsia" w:ascii="TimesNewRomanPSMT" w:hAnsi="TimesNewRomanPSMT" w:eastAsia="TimesNewRomanPSMT"/>
          <w:sz w:val="24"/>
        </w:rPr>
        <w:t>CPC</w:t>
      </w:r>
      <w:r>
        <w:rPr>
          <w:rFonts w:hint="eastAsia" w:ascii="宋体" w:hAnsi="宋体"/>
          <w:sz w:val="24"/>
        </w:rPr>
        <w:t>）的补充由省联网收费运营管理平台负责完成。</w:t>
      </w:r>
    </w:p>
    <w:p>
      <w:pPr>
        <w:tabs>
          <w:tab w:val="left" w:pos="1200"/>
        </w:tabs>
        <w:ind w:left="1080" w:leftChars="400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3) 复合通行卡（</w:t>
      </w:r>
      <w:r>
        <w:rPr>
          <w:rFonts w:hint="eastAsia" w:ascii="TimesNewRomanPSMT" w:hAnsi="TimesNewRomanPSMT" w:eastAsia="TimesNewRomanPSMT"/>
          <w:sz w:val="24"/>
        </w:rPr>
        <w:t>CPC</w:t>
      </w:r>
      <w:r>
        <w:rPr>
          <w:rFonts w:hint="eastAsia" w:ascii="宋体" w:hAnsi="宋体"/>
          <w:sz w:val="24"/>
        </w:rPr>
        <w:t>）的调拨分为路段内的调拨和路段之间的调拨。在出入口车流量不平衡的情况下，首先由路段内解决调拨问题；如果需要在路段之间进行调拨，一律通过省联网收费运营管理平台统一处理。</w:t>
      </w:r>
    </w:p>
    <w:p>
      <w:pPr>
        <w:pStyle w:val="2"/>
        <w:ind w:left="0" w:leftChars="0"/>
      </w:pPr>
    </w:p>
    <w:p>
      <w:pPr>
        <w:pStyle w:val="2"/>
      </w:pPr>
      <w:bookmarkStart w:id="3" w:name="_GoBack"/>
      <w:bookmarkEnd w:id="3"/>
    </w:p>
    <w:p>
      <w:pPr>
        <w:pStyle w:val="8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14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-Bold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ingLiU_HKSCS">
    <w:altName w:val="MingLiU-ExtB"/>
    <w:panose1 w:val="00000000000000000000"/>
    <w:charset w:val="88"/>
    <w:family w:val="roman"/>
    <w:pitch w:val="default"/>
    <w:sig w:usb0="00000000" w:usb1="00000000" w:usb2="00000016" w:usb3="00000000" w:csb0="00100001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5AF6003"/>
    <w:rsid w:val="061439B5"/>
    <w:rsid w:val="06622CB2"/>
    <w:rsid w:val="066D593A"/>
    <w:rsid w:val="072D08E0"/>
    <w:rsid w:val="07F67816"/>
    <w:rsid w:val="08EE3671"/>
    <w:rsid w:val="0A3B086D"/>
    <w:rsid w:val="0A69025B"/>
    <w:rsid w:val="0C0C29EB"/>
    <w:rsid w:val="0DA26991"/>
    <w:rsid w:val="0EC817E1"/>
    <w:rsid w:val="0ECB4993"/>
    <w:rsid w:val="112A7044"/>
    <w:rsid w:val="12ED5CBA"/>
    <w:rsid w:val="14A64372"/>
    <w:rsid w:val="14C447F8"/>
    <w:rsid w:val="16640041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2B51207"/>
    <w:rsid w:val="24875F4B"/>
    <w:rsid w:val="268D4A24"/>
    <w:rsid w:val="28126A09"/>
    <w:rsid w:val="292922C2"/>
    <w:rsid w:val="29FD638B"/>
    <w:rsid w:val="2A6117E0"/>
    <w:rsid w:val="2A9C2048"/>
    <w:rsid w:val="2B0B041B"/>
    <w:rsid w:val="2B975488"/>
    <w:rsid w:val="2BB05A29"/>
    <w:rsid w:val="2BBE1469"/>
    <w:rsid w:val="2C101B15"/>
    <w:rsid w:val="2CF653B6"/>
    <w:rsid w:val="2D30644B"/>
    <w:rsid w:val="2D393A69"/>
    <w:rsid w:val="2E0860D1"/>
    <w:rsid w:val="2E5A20BA"/>
    <w:rsid w:val="2ECB5FE2"/>
    <w:rsid w:val="2FCA6C1C"/>
    <w:rsid w:val="2FCB1B9E"/>
    <w:rsid w:val="30C66F2B"/>
    <w:rsid w:val="34403FA4"/>
    <w:rsid w:val="34DB5F68"/>
    <w:rsid w:val="35912415"/>
    <w:rsid w:val="363C648D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C97C03"/>
    <w:rsid w:val="472B5FAC"/>
    <w:rsid w:val="48AD79E8"/>
    <w:rsid w:val="4908486B"/>
    <w:rsid w:val="49B8091F"/>
    <w:rsid w:val="49DC5C4D"/>
    <w:rsid w:val="4A44006F"/>
    <w:rsid w:val="4AF018C8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3166D1A"/>
    <w:rsid w:val="65922BE0"/>
    <w:rsid w:val="672D5C9D"/>
    <w:rsid w:val="6A4B0471"/>
    <w:rsid w:val="6AC87D14"/>
    <w:rsid w:val="6B7E6624"/>
    <w:rsid w:val="6C083654"/>
    <w:rsid w:val="6C094604"/>
    <w:rsid w:val="6C751B3B"/>
    <w:rsid w:val="6E354925"/>
    <w:rsid w:val="6E4A295F"/>
    <w:rsid w:val="710B2708"/>
    <w:rsid w:val="719C3C06"/>
    <w:rsid w:val="724471CD"/>
    <w:rsid w:val="74963E13"/>
    <w:rsid w:val="75A543B5"/>
    <w:rsid w:val="760D37CC"/>
    <w:rsid w:val="79E2018B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41">
    <w:name w:val="font31"/>
    <w:basedOn w:val="15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2">
    <w:name w:val="font4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2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4">
    <w:name w:val="font11"/>
    <w:basedOn w:val="15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5">
    <w:name w:val="font5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6">
    <w:name w:val="font71"/>
    <w:basedOn w:val="15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7">
    <w:name w:val="font61"/>
    <w:basedOn w:val="15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386</Words>
  <Characters>436</Characters>
  <Lines>61</Lines>
  <Paragraphs>17</Paragraphs>
  <TotalTime>0</TotalTime>
  <ScaleCrop>false</ScaleCrop>
  <LinksUpToDate>false</LinksUpToDate>
  <CharactersWithSpaces>495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2023-06-14T03:46:16Z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