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广州新白云国际机场第二高速公路南段工程项目机电工程SG13标段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移动支付扫码终端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广州新白云国际机场第二高速公路南段工程项目机电工程SG13标段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7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2187"/>
        <w:gridCol w:w="1459"/>
        <w:gridCol w:w="818"/>
        <w:gridCol w:w="805"/>
        <w:gridCol w:w="1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序号</w:t>
            </w:r>
          </w:p>
        </w:tc>
        <w:tc>
          <w:tcPr>
            <w:tcW w:w="218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设备</w:t>
            </w:r>
            <w:r>
              <w:rPr>
                <w:sz w:val="24"/>
                <w:szCs w:val="24"/>
              </w:rPr>
              <w:t>名称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品牌/型号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</w:t>
            </w:r>
          </w:p>
        </w:tc>
        <w:tc>
          <w:tcPr>
            <w:tcW w:w="80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数量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23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AnsiTheme="minorEastAsia" w:eastAsiaTheme="minorEastAsia"/>
                <w:sz w:val="24"/>
                <w:szCs w:val="24"/>
              </w:rPr>
              <w:t>802-3-14</w:t>
            </w:r>
          </w:p>
        </w:tc>
        <w:tc>
          <w:tcPr>
            <w:tcW w:w="218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AnsiTheme="minorEastAsia" w:eastAsiaTheme="minorEastAsia"/>
                <w:sz w:val="24"/>
                <w:szCs w:val="24"/>
              </w:rPr>
              <w:t>移动支付扫码终端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</w:rPr>
              <w:t>套</w:t>
            </w:r>
          </w:p>
        </w:tc>
        <w:tc>
          <w:tcPr>
            <w:tcW w:w="805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hAnsiTheme="minorEastAsia" w:eastAsiaTheme="minorEastAsia"/>
                <w:sz w:val="24"/>
                <w:szCs w:val="24"/>
              </w:rPr>
              <w:t>28</w:t>
            </w:r>
          </w:p>
        </w:tc>
        <w:tc>
          <w:tcPr>
            <w:tcW w:w="10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指导安装调试、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</w:t>
      </w:r>
      <w:r>
        <w:rPr>
          <w:rFonts w:hint="eastAsia"/>
          <w:bCs/>
          <w:snapToGrid w:val="0"/>
          <w:kern w:val="0"/>
          <w:sz w:val="24"/>
          <w:lang w:eastAsia="zh-CN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spacing w:line="360" w:lineRule="auto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802-3-14 移动支付扫码终端</w:t>
      </w:r>
    </w:p>
    <w:p>
      <w:pPr>
        <w:tabs>
          <w:tab w:val="left" w:pos="567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一、功能要求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设置于收费亭侧壁，支付终端接入亭内数据网络工业交换机传输至收费站。在出口车道完成通行费计算后，车道软件生成支付申请。用户可通过手机内移动支付软件生成授权二维码。码支付终端读取授权二维码后，向第三方支付平台发送支付申请， 进入支付流程。确认支付成功后，自动抬杆放行。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扫码支付终端与车道计算机采用USB 接口连接，传输通行费数据及支付确认信息。功能丰富、使用便利快捷、设施界面美观醒目。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系统软件应具备平滑升级实现今后的移动支付。移动支付受理终端应通过交通运输部的CMA、3C-MRA、CNAS 等认证， 并通过联合电服公司的软件功能测试。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二、主要技术指标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二维码识读范围：10～150cm；识读区域：不小于30×30cm(扫码距离为60cm)。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屏幕显示设备满足强阳光直射下的工作环境。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采用多扫码元件阵列。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扫描速度：&lt;100ms。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通讯接口：RS232、4G、WIFI、以太网。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MTBF：15000 小时。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防护等级：IP65。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- 含扫码枪；支持粤通宝、微信、支付宝、银联等支付功能，未来可平滑升级其他主流支付形式。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Times New Roman" w:hAnsi="Times New Roman" w:eastAsia="宋体" w:cs="Times New Roman"/>
          <w:bCs/>
          <w:snapToGrid w:val="0"/>
          <w:spacing w:val="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sz w:val="24"/>
          <w:szCs w:val="24"/>
        </w:rPr>
        <w:t>- 包含与计算机连接的串口控制电缆及供电电缆，内置或自带电源适配器；配套的驱动程序或支持即插即用。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14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bookmarkStart w:id="3" w:name="_GoBack"/>
      <w:bookmarkEnd w:id="3"/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09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66D593A"/>
    <w:rsid w:val="072D08E0"/>
    <w:rsid w:val="08EE3671"/>
    <w:rsid w:val="08FD041E"/>
    <w:rsid w:val="0A69025B"/>
    <w:rsid w:val="0C0C29EB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0DF4E94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983A2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72D5C9D"/>
    <w:rsid w:val="6A7639E9"/>
    <w:rsid w:val="6AC87D14"/>
    <w:rsid w:val="6C083654"/>
    <w:rsid w:val="6C094604"/>
    <w:rsid w:val="6C751B3B"/>
    <w:rsid w:val="6E354925"/>
    <w:rsid w:val="6E4A295F"/>
    <w:rsid w:val="710B2708"/>
    <w:rsid w:val="714D2D21"/>
    <w:rsid w:val="724471CD"/>
    <w:rsid w:val="73C445E5"/>
    <w:rsid w:val="74963E13"/>
    <w:rsid w:val="760D37CC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870</Words>
  <Characters>980</Characters>
  <Lines>61</Lines>
  <Paragraphs>17</Paragraphs>
  <TotalTime>4</TotalTime>
  <ScaleCrop>false</ScaleCrop>
  <LinksUpToDate>false</LinksUpToDate>
  <CharactersWithSpaces>1055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2023-06-09T06:03:15Z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