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广州新白云国际机场第二高速公路南段工程项目机电工程SG13标段</w:t>
      </w:r>
      <w:r>
        <w:rPr>
          <w:rFonts w:hint="eastAsia" w:eastAsia="仿宋_GB2312" w:cs="Times New Roman"/>
          <w:b/>
          <w:color w:val="000000"/>
          <w:sz w:val="32"/>
          <w:szCs w:val="32"/>
          <w:lang w:eastAsia="zh-CN"/>
        </w:rPr>
        <w:t>投包机</w:t>
      </w:r>
      <w:bookmarkStart w:id="3" w:name="_GoBack"/>
      <w:bookmarkEnd w:id="3"/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设备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/>
          <w:bCs/>
          <w:snapToGrid w:val="0"/>
          <w:kern w:val="0"/>
          <w:sz w:val="24"/>
          <w:lang w:eastAsia="zh-CN"/>
        </w:rPr>
        <w:t>广州新白云国际机场第二高速公路南段工程项目机电工程SG13标段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67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689"/>
        <w:gridCol w:w="1232"/>
        <w:gridCol w:w="641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802-6-1</w:t>
            </w:r>
          </w:p>
        </w:tc>
        <w:tc>
          <w:tcPr>
            <w:tcW w:w="1689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投包机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卸货费、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110004.00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tabs>
          <w:tab w:val="left" w:pos="312"/>
        </w:tabs>
        <w:topLinePunct/>
        <w:spacing w:line="360" w:lineRule="auto"/>
        <w:outlineLvl w:val="1"/>
        <w:rPr>
          <w:rFonts w:eastAsiaTheme="minorEastAsia"/>
          <w:b/>
          <w:snapToGrid w:val="0"/>
          <w:kern w:val="0"/>
          <w:szCs w:val="21"/>
        </w:rPr>
      </w:pPr>
    </w:p>
    <w:p>
      <w:pPr>
        <w:tabs>
          <w:tab w:val="left" w:pos="567"/>
        </w:tabs>
        <w:adjustRightInd w:val="0"/>
        <w:snapToGrid w:val="0"/>
        <w:spacing w:line="360" w:lineRule="auto"/>
        <w:ind w:firstLine="420" w:firstLineChars="200"/>
        <w:rPr>
          <w:rFonts w:hint="eastAsia" w:ascii="宋体" w:hAnsi="宋体" w:cs="宋体"/>
          <w:b w:val="0"/>
          <w:bCs/>
          <w:color w:val="auto"/>
          <w:highlight w:val="none"/>
        </w:rPr>
      </w:pPr>
      <w:r>
        <w:rPr>
          <w:rFonts w:hint="eastAsia" w:ascii="宋体" w:hAnsi="宋体" w:cs="宋体"/>
          <w:b w:val="0"/>
          <w:bCs/>
          <w:color w:val="auto"/>
          <w:highlight w:val="none"/>
        </w:rPr>
        <w:t>一、功能要求</w:t>
      </w:r>
    </w:p>
    <w:p>
      <w:pPr>
        <w:numPr>
          <w:ilvl w:val="0"/>
          <w:numId w:val="5"/>
        </w:numPr>
        <w:tabs>
          <w:tab w:val="left" w:pos="567"/>
        </w:tabs>
        <w:adjustRightInd w:val="0"/>
        <w:snapToGrid w:val="0"/>
        <w:spacing w:line="360" w:lineRule="auto"/>
        <w:ind w:left="567" w:firstLine="0"/>
        <w:outlineLvl w:val="5"/>
        <w:rPr>
          <w:rFonts w:hint="eastAsia" w:ascii="宋体" w:hAnsi="宋体" w:cs="宋体"/>
          <w:bCs/>
          <w:color w:val="auto"/>
          <w:highlight w:val="none"/>
        </w:rPr>
      </w:pPr>
      <w:r>
        <w:rPr>
          <w:rFonts w:hint="eastAsia" w:ascii="宋体" w:hAnsi="宋体" w:cs="宋体"/>
          <w:bCs/>
          <w:color w:val="auto"/>
          <w:highlight w:val="none"/>
        </w:rPr>
        <w:t>采用大堂式</w:t>
      </w:r>
      <w:r>
        <w:rPr>
          <w:rFonts w:hint="eastAsia" w:ascii="宋体" w:hAnsi="宋体" w:cs="宋体"/>
          <w:bCs/>
          <w:color w:val="auto"/>
          <w:highlight w:val="none"/>
          <w:lang w:val="en-US" w:eastAsia="zh-CN"/>
        </w:rPr>
        <w:t>前开门。</w:t>
      </w:r>
    </w:p>
    <w:p>
      <w:pPr>
        <w:numPr>
          <w:ilvl w:val="0"/>
          <w:numId w:val="6"/>
        </w:numPr>
        <w:tabs>
          <w:tab w:val="left" w:pos="567"/>
        </w:tabs>
        <w:adjustRightInd w:val="0"/>
        <w:snapToGrid w:val="0"/>
        <w:spacing w:line="360" w:lineRule="auto"/>
        <w:ind w:left="567" w:firstLine="0"/>
        <w:outlineLvl w:val="4"/>
        <w:rPr>
          <w:rFonts w:hint="eastAsia" w:ascii="宋体" w:hAnsi="宋体" w:cs="宋体"/>
          <w:bCs/>
          <w:color w:val="auto"/>
          <w:highlight w:val="none"/>
        </w:rPr>
      </w:pPr>
      <w:r>
        <w:rPr>
          <w:rFonts w:hint="eastAsia" w:ascii="宋体" w:hAnsi="宋体" w:cs="宋体"/>
          <w:bCs/>
          <w:color w:val="auto"/>
          <w:highlight w:val="none"/>
        </w:rPr>
        <w:t>可通过IC卡及密码进行操作人员身份认证。</w:t>
      </w:r>
    </w:p>
    <w:p>
      <w:pPr>
        <w:numPr>
          <w:ilvl w:val="0"/>
          <w:numId w:val="6"/>
        </w:numPr>
        <w:tabs>
          <w:tab w:val="left" w:pos="567"/>
        </w:tabs>
        <w:adjustRightInd w:val="0"/>
        <w:snapToGrid w:val="0"/>
        <w:spacing w:line="360" w:lineRule="auto"/>
        <w:ind w:left="567" w:firstLine="0"/>
        <w:outlineLvl w:val="4"/>
        <w:rPr>
          <w:rFonts w:hint="eastAsia" w:ascii="宋体" w:hAnsi="宋体" w:cs="宋体"/>
          <w:bCs/>
          <w:color w:val="auto"/>
          <w:highlight w:val="none"/>
        </w:rPr>
      </w:pPr>
      <w:r>
        <w:rPr>
          <w:rFonts w:hint="eastAsia" w:ascii="宋体" w:hAnsi="宋体" w:cs="宋体"/>
          <w:bCs/>
          <w:color w:val="auto"/>
          <w:highlight w:val="none"/>
        </w:rPr>
        <w:t>可对收费金额等数据进行汇总</w:t>
      </w:r>
      <w:r>
        <w:rPr>
          <w:rFonts w:hint="eastAsia" w:ascii="宋体" w:hAnsi="宋体" w:cs="宋体"/>
          <w:bCs/>
          <w:color w:val="auto"/>
          <w:highlight w:val="none"/>
          <w:lang w:eastAsia="zh-CN"/>
        </w:rPr>
        <w:t>，</w:t>
      </w:r>
      <w:r>
        <w:rPr>
          <w:rFonts w:hint="eastAsia" w:ascii="宋体" w:hAnsi="宋体" w:cs="宋体"/>
          <w:bCs/>
          <w:color w:val="auto"/>
          <w:highlight w:val="none"/>
          <w:lang w:val="en-US" w:eastAsia="zh-CN"/>
        </w:rPr>
        <w:t>具备与收费系统软件联网功能</w:t>
      </w:r>
      <w:r>
        <w:rPr>
          <w:rFonts w:hint="eastAsia" w:ascii="宋体" w:hAnsi="宋体" w:cs="宋体"/>
          <w:bCs/>
          <w:color w:val="auto"/>
          <w:highlight w:val="none"/>
        </w:rPr>
        <w:t>。</w:t>
      </w:r>
    </w:p>
    <w:p>
      <w:pPr>
        <w:numPr>
          <w:ilvl w:val="0"/>
          <w:numId w:val="6"/>
        </w:numPr>
        <w:tabs>
          <w:tab w:val="left" w:pos="567"/>
        </w:tabs>
        <w:adjustRightInd w:val="0"/>
        <w:snapToGrid w:val="0"/>
        <w:spacing w:line="360" w:lineRule="auto"/>
        <w:ind w:left="567" w:firstLine="0"/>
        <w:outlineLvl w:val="4"/>
        <w:rPr>
          <w:rFonts w:hint="eastAsia" w:ascii="宋体" w:hAnsi="宋体" w:cs="宋体"/>
          <w:bCs/>
          <w:color w:val="auto"/>
          <w:highlight w:val="none"/>
        </w:rPr>
      </w:pPr>
      <w:r>
        <w:rPr>
          <w:rFonts w:hint="eastAsia" w:ascii="宋体" w:hAnsi="宋体" w:cs="宋体"/>
          <w:bCs/>
          <w:color w:val="auto"/>
          <w:highlight w:val="none"/>
        </w:rPr>
        <w:t>能够提供相应的报表。</w:t>
      </w:r>
    </w:p>
    <w:p>
      <w:pPr>
        <w:numPr>
          <w:ilvl w:val="0"/>
          <w:numId w:val="6"/>
        </w:numPr>
        <w:tabs>
          <w:tab w:val="left" w:pos="567"/>
        </w:tabs>
        <w:adjustRightInd w:val="0"/>
        <w:snapToGrid w:val="0"/>
        <w:spacing w:line="360" w:lineRule="auto"/>
        <w:ind w:left="567" w:firstLine="0"/>
        <w:outlineLvl w:val="4"/>
        <w:rPr>
          <w:rFonts w:hint="eastAsia" w:ascii="宋体" w:hAnsi="宋体" w:cs="宋体"/>
          <w:bCs/>
          <w:color w:val="auto"/>
          <w:highlight w:val="none"/>
        </w:rPr>
      </w:pPr>
      <w:r>
        <w:rPr>
          <w:rFonts w:hint="eastAsia" w:ascii="宋体" w:hAnsi="宋体" w:cs="宋体"/>
          <w:bCs/>
          <w:color w:val="auto"/>
          <w:highlight w:val="none"/>
        </w:rPr>
        <w:t>投包机内部要有防调存款包倒齿。</w:t>
      </w:r>
    </w:p>
    <w:p>
      <w:pPr>
        <w:numPr>
          <w:ilvl w:val="0"/>
          <w:numId w:val="6"/>
        </w:numPr>
        <w:tabs>
          <w:tab w:val="left" w:pos="720"/>
        </w:tabs>
        <w:adjustRightInd w:val="0"/>
        <w:snapToGrid w:val="0"/>
        <w:spacing w:line="360" w:lineRule="auto"/>
        <w:ind w:left="626" w:leftChars="198" w:hanging="210" w:hangingChars="100"/>
        <w:outlineLvl w:val="4"/>
        <w:rPr>
          <w:rFonts w:hint="eastAsia" w:ascii="宋体" w:hAnsi="宋体" w:cs="宋体"/>
          <w:bCs/>
          <w:color w:val="auto"/>
          <w:highlight w:val="none"/>
        </w:rPr>
      </w:pPr>
      <w:r>
        <w:rPr>
          <w:rFonts w:hint="eastAsia" w:ascii="宋体" w:hAnsi="宋体" w:cs="宋体"/>
          <w:bCs/>
          <w:color w:val="auto"/>
          <w:highlight w:val="none"/>
        </w:rPr>
        <w:t>两套锁装置并存：一套为密码锁，一套为钥匙开启的机械锁。</w:t>
      </w:r>
      <w:r>
        <w:rPr>
          <w:rFonts w:hint="eastAsia" w:ascii="宋体" w:hAnsi="宋体" w:eastAsia="宋体" w:cs="宋体"/>
          <w:color w:val="auto"/>
          <w:highlight w:val="none"/>
        </w:rPr>
        <w:t>机械密码锁连动防盗机械锁，具有百万次密码组合和防窃听功能，且设有安全重锁装置：当库门受到气割破坏时，重锁装置起作用，将门闩锁死，即使库门锁定机构被破坏，库门也不会被开启，有效防止金库的非法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打</w:t>
      </w:r>
      <w:r>
        <w:rPr>
          <w:rFonts w:hint="eastAsia" w:ascii="宋体" w:hAnsi="宋体" w:eastAsia="宋体" w:cs="宋体"/>
          <w:color w:val="auto"/>
          <w:highlight w:val="none"/>
        </w:rPr>
        <w:t>开</w:t>
      </w: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。</w:t>
      </w:r>
    </w:p>
    <w:p>
      <w:pPr>
        <w:numPr>
          <w:ilvl w:val="0"/>
          <w:numId w:val="5"/>
        </w:numPr>
        <w:tabs>
          <w:tab w:val="left" w:pos="720"/>
        </w:tabs>
        <w:adjustRightInd w:val="0"/>
        <w:snapToGrid w:val="0"/>
        <w:spacing w:line="360" w:lineRule="auto"/>
        <w:ind w:left="626" w:leftChars="198" w:hanging="210" w:hangingChars="100"/>
        <w:outlineLvl w:val="5"/>
        <w:rPr>
          <w:rFonts w:hint="eastAsia" w:ascii="宋体" w:hAnsi="宋体" w:cs="宋体"/>
          <w:bCs/>
          <w:color w:val="auto"/>
          <w:highlight w:val="none"/>
        </w:rPr>
      </w:pPr>
      <w:r>
        <w:rPr>
          <w:rFonts w:hint="eastAsia" w:ascii="宋体" w:hAnsi="宋体" w:cs="宋体"/>
          <w:bCs/>
          <w:color w:val="auto"/>
          <w:highlight w:val="none"/>
        </w:rPr>
        <w:t>门锁使用专用机械密码锁，在锁具被破坏时能自动反锁，确保能抵御外界的破坏攻击。</w:t>
      </w:r>
    </w:p>
    <w:p>
      <w:pPr>
        <w:numPr>
          <w:ilvl w:val="0"/>
          <w:numId w:val="5"/>
        </w:numPr>
        <w:tabs>
          <w:tab w:val="left" w:pos="567"/>
        </w:tabs>
        <w:adjustRightInd w:val="0"/>
        <w:snapToGrid w:val="0"/>
        <w:spacing w:line="360" w:lineRule="auto"/>
        <w:ind w:left="567" w:firstLine="0"/>
        <w:outlineLvl w:val="5"/>
        <w:rPr>
          <w:rFonts w:hint="eastAsia" w:ascii="宋体" w:hAnsi="宋体" w:cs="宋体"/>
          <w:bCs/>
          <w:color w:val="auto"/>
          <w:highlight w:val="none"/>
        </w:rPr>
      </w:pPr>
      <w:r>
        <w:rPr>
          <w:rFonts w:hint="eastAsia" w:ascii="宋体" w:hAnsi="宋体" w:cs="宋体"/>
          <w:bCs/>
          <w:color w:val="auto"/>
          <w:highlight w:val="none"/>
        </w:rPr>
        <w:t>保险柜体采用优质钢板，柜体钢板厚度15mm以上，柜门等关键部位增加防</w:t>
      </w:r>
      <w:r>
        <w:rPr>
          <w:rFonts w:hint="eastAsia" w:ascii="宋体" w:hAnsi="宋体" w:cs="宋体"/>
          <w:bCs/>
          <w:color w:val="auto"/>
          <w:highlight w:val="none"/>
          <w:lang w:val="en-US" w:eastAsia="zh-CN"/>
        </w:rPr>
        <w:t>钻</w:t>
      </w:r>
      <w:r>
        <w:rPr>
          <w:rFonts w:hint="eastAsia" w:ascii="宋体" w:hAnsi="宋体" w:cs="宋体"/>
          <w:bCs/>
          <w:color w:val="auto"/>
          <w:highlight w:val="none"/>
        </w:rPr>
        <w:t>钢板</w:t>
      </w:r>
      <w:r>
        <w:rPr>
          <w:rFonts w:hint="eastAsia" w:ascii="宋体" w:hAnsi="宋体" w:cs="宋体"/>
          <w:bCs/>
          <w:color w:val="auto"/>
          <w:highlight w:val="none"/>
          <w:lang w:eastAsia="zh-CN"/>
        </w:rPr>
        <w:t>。</w:t>
      </w:r>
    </w:p>
    <w:p>
      <w:pPr>
        <w:numPr>
          <w:ilvl w:val="0"/>
          <w:numId w:val="6"/>
        </w:numPr>
        <w:tabs>
          <w:tab w:val="left" w:pos="720"/>
        </w:tabs>
        <w:adjustRightInd w:val="0"/>
        <w:snapToGrid w:val="0"/>
        <w:spacing w:line="360" w:lineRule="auto"/>
        <w:ind w:left="626" w:leftChars="198" w:hanging="210" w:hangingChars="100"/>
        <w:outlineLvl w:val="4"/>
        <w:rPr>
          <w:rFonts w:hint="eastAsia" w:ascii="宋体" w:hAnsi="宋体" w:cs="宋体"/>
          <w:bCs/>
          <w:color w:val="auto"/>
          <w:highlight w:val="none"/>
        </w:rPr>
      </w:pPr>
      <w:r>
        <w:rPr>
          <w:rFonts w:hint="eastAsia" w:ascii="宋体" w:hAnsi="宋体" w:cs="宋体"/>
          <w:bCs/>
          <w:color w:val="auto"/>
          <w:highlight w:val="none"/>
        </w:rPr>
        <w:t>安全性符合GB/T18789-2002自动柜员机（ATM）标准。</w:t>
      </w:r>
    </w:p>
    <w:p>
      <w:pPr>
        <w:numPr>
          <w:ilvl w:val="0"/>
          <w:numId w:val="6"/>
        </w:numPr>
        <w:tabs>
          <w:tab w:val="left" w:pos="720"/>
        </w:tabs>
        <w:adjustRightInd w:val="0"/>
        <w:snapToGrid w:val="0"/>
        <w:spacing w:line="360" w:lineRule="auto"/>
        <w:ind w:left="626" w:leftChars="198" w:hanging="210" w:hangingChars="100"/>
        <w:outlineLvl w:val="4"/>
        <w:rPr>
          <w:rFonts w:hint="eastAsia" w:ascii="宋体" w:hAnsi="宋体" w:cs="宋体"/>
          <w:bCs/>
          <w:color w:val="auto"/>
          <w:highlight w:val="none"/>
        </w:rPr>
      </w:pPr>
      <w:r>
        <w:rPr>
          <w:rFonts w:hint="eastAsia" w:ascii="宋体" w:hAnsi="宋体" w:cs="宋体"/>
          <w:bCs/>
          <w:color w:val="auto"/>
          <w:highlight w:val="none"/>
        </w:rPr>
        <w:t>柜体内部结构紧凑、牢固，外型美观。</w:t>
      </w:r>
    </w:p>
    <w:p>
      <w:pPr>
        <w:numPr>
          <w:ilvl w:val="0"/>
          <w:numId w:val="6"/>
        </w:numPr>
        <w:tabs>
          <w:tab w:val="left" w:pos="720"/>
        </w:tabs>
        <w:adjustRightInd w:val="0"/>
        <w:snapToGrid w:val="0"/>
        <w:spacing w:line="360" w:lineRule="auto"/>
        <w:ind w:left="626" w:leftChars="198" w:hanging="210" w:hangingChars="100"/>
        <w:outlineLvl w:val="4"/>
        <w:rPr>
          <w:rFonts w:hint="eastAsia" w:ascii="宋体" w:hAnsi="宋体" w:cs="宋体"/>
          <w:bCs/>
          <w:color w:val="auto"/>
          <w:highlight w:val="none"/>
        </w:rPr>
      </w:pPr>
      <w:r>
        <w:rPr>
          <w:rFonts w:hint="eastAsia" w:ascii="宋体" w:hAnsi="宋体" w:cs="宋体"/>
          <w:bCs/>
          <w:color w:val="auto"/>
          <w:highlight w:val="none"/>
        </w:rPr>
        <w:t>二、主要技术指标</w:t>
      </w:r>
    </w:p>
    <w:p>
      <w:pPr>
        <w:numPr>
          <w:ilvl w:val="0"/>
          <w:numId w:val="6"/>
        </w:numPr>
        <w:tabs>
          <w:tab w:val="left" w:pos="720"/>
        </w:tabs>
        <w:adjustRightInd w:val="0"/>
        <w:snapToGrid w:val="0"/>
        <w:spacing w:line="360" w:lineRule="auto"/>
        <w:ind w:left="626" w:leftChars="198" w:hanging="210" w:hangingChars="100"/>
        <w:outlineLvl w:val="4"/>
        <w:rPr>
          <w:rFonts w:hint="eastAsia" w:ascii="宋体" w:hAnsi="宋体" w:cs="宋体"/>
          <w:bCs/>
          <w:color w:val="auto"/>
          <w:highlight w:val="none"/>
        </w:rPr>
      </w:pPr>
      <w:r>
        <w:rPr>
          <w:rFonts w:hint="eastAsia" w:ascii="宋体" w:hAnsi="宋体" w:cs="宋体"/>
          <w:bCs/>
          <w:color w:val="auto"/>
          <w:highlight w:val="none"/>
        </w:rPr>
        <w:t>每台自助存款投包机包含100个现金袋</w:t>
      </w:r>
    </w:p>
    <w:p>
      <w:pPr>
        <w:numPr>
          <w:ilvl w:val="0"/>
          <w:numId w:val="6"/>
        </w:numPr>
        <w:tabs>
          <w:tab w:val="left" w:pos="720"/>
        </w:tabs>
        <w:adjustRightInd w:val="0"/>
        <w:snapToGrid w:val="0"/>
        <w:spacing w:line="360" w:lineRule="auto"/>
        <w:ind w:left="626" w:leftChars="198" w:hanging="210" w:hangingChars="100"/>
        <w:outlineLvl w:val="4"/>
        <w:rPr>
          <w:rFonts w:hint="eastAsia" w:ascii="宋体" w:hAnsi="宋体" w:cs="宋体"/>
          <w:bCs/>
          <w:color w:val="auto"/>
          <w:highlight w:val="none"/>
        </w:rPr>
      </w:pPr>
      <w:r>
        <w:rPr>
          <w:rFonts w:hint="eastAsia" w:ascii="宋体" w:hAnsi="宋体" w:cs="宋体"/>
          <w:bCs/>
          <w:color w:val="auto"/>
          <w:highlight w:val="none"/>
        </w:rPr>
        <w:t>节能低功耗工控机，CPU主频≥2.4GHz；内存：DDR3，≥4G；硬盘：SATA Ⅱ，1TB</w:t>
      </w:r>
    </w:p>
    <w:p>
      <w:pPr>
        <w:numPr>
          <w:ilvl w:val="0"/>
          <w:numId w:val="6"/>
        </w:numPr>
        <w:tabs>
          <w:tab w:val="left" w:pos="720"/>
        </w:tabs>
        <w:adjustRightInd w:val="0"/>
        <w:snapToGrid w:val="0"/>
        <w:spacing w:line="360" w:lineRule="auto"/>
        <w:ind w:left="626" w:leftChars="198" w:hanging="210" w:hangingChars="100"/>
        <w:outlineLvl w:val="4"/>
        <w:rPr>
          <w:rFonts w:hint="eastAsia" w:ascii="宋体" w:hAnsi="宋体" w:cs="宋体"/>
          <w:bCs/>
          <w:color w:val="auto"/>
          <w:highlight w:val="none"/>
        </w:rPr>
      </w:pPr>
      <w:r>
        <w:rPr>
          <w:rFonts w:hint="eastAsia" w:ascii="宋体" w:hAnsi="宋体" w:cs="宋体"/>
          <w:bCs/>
          <w:color w:val="auto"/>
          <w:highlight w:val="none"/>
        </w:rPr>
        <w:t>配10/100M以太网卡与收费网络连接</w:t>
      </w:r>
    </w:p>
    <w:p>
      <w:pPr>
        <w:numPr>
          <w:ilvl w:val="0"/>
          <w:numId w:val="6"/>
        </w:numPr>
        <w:tabs>
          <w:tab w:val="left" w:pos="720"/>
        </w:tabs>
        <w:adjustRightInd w:val="0"/>
        <w:snapToGrid w:val="0"/>
        <w:spacing w:line="360" w:lineRule="auto"/>
        <w:ind w:left="626" w:leftChars="198" w:hanging="210" w:hangingChars="100"/>
        <w:outlineLvl w:val="4"/>
        <w:rPr>
          <w:rFonts w:hint="eastAsia" w:ascii="宋体" w:hAnsi="宋体" w:cs="宋体"/>
          <w:bCs/>
          <w:color w:val="auto"/>
          <w:highlight w:val="none"/>
        </w:rPr>
      </w:pPr>
      <w:r>
        <w:rPr>
          <w:rFonts w:hint="eastAsia" w:ascii="宋体" w:hAnsi="宋体" w:cs="宋体"/>
          <w:bCs/>
          <w:color w:val="auto"/>
          <w:highlight w:val="none"/>
        </w:rPr>
        <w:t>15”液晶显示屏</w:t>
      </w:r>
    </w:p>
    <w:p>
      <w:pPr>
        <w:numPr>
          <w:ilvl w:val="0"/>
          <w:numId w:val="6"/>
        </w:numPr>
        <w:tabs>
          <w:tab w:val="left" w:pos="720"/>
        </w:tabs>
        <w:adjustRightInd w:val="0"/>
        <w:snapToGrid w:val="0"/>
        <w:spacing w:line="360" w:lineRule="auto"/>
        <w:ind w:left="626" w:leftChars="198" w:hanging="210" w:hangingChars="100"/>
        <w:outlineLvl w:val="4"/>
        <w:rPr>
          <w:rFonts w:hint="eastAsia" w:ascii="宋体" w:hAnsi="宋体" w:cs="宋体"/>
          <w:bCs/>
          <w:color w:val="auto"/>
          <w:highlight w:val="none"/>
        </w:rPr>
      </w:pPr>
      <w:r>
        <w:rPr>
          <w:rFonts w:hint="eastAsia" w:ascii="宋体" w:hAnsi="宋体" w:cs="宋体"/>
          <w:bCs/>
          <w:color w:val="auto"/>
          <w:highlight w:val="none"/>
        </w:rPr>
        <w:t>内置摄像头，可对所有操作进行录像</w:t>
      </w:r>
    </w:p>
    <w:p>
      <w:pPr>
        <w:numPr>
          <w:ilvl w:val="0"/>
          <w:numId w:val="6"/>
        </w:numPr>
        <w:tabs>
          <w:tab w:val="left" w:pos="720"/>
        </w:tabs>
        <w:adjustRightInd w:val="0"/>
        <w:snapToGrid w:val="0"/>
        <w:spacing w:line="360" w:lineRule="auto"/>
        <w:ind w:left="626" w:leftChars="198" w:hanging="210" w:hangingChars="100"/>
        <w:outlineLvl w:val="4"/>
        <w:rPr>
          <w:rFonts w:hint="eastAsia" w:ascii="宋体" w:hAnsi="宋体" w:cs="宋体"/>
          <w:bCs/>
          <w:color w:val="auto"/>
          <w:highlight w:val="none"/>
        </w:rPr>
      </w:pPr>
      <w:r>
        <w:rPr>
          <w:rFonts w:hint="eastAsia" w:ascii="宋体" w:hAnsi="宋体" w:cs="宋体"/>
          <w:bCs/>
          <w:color w:val="auto"/>
          <w:highlight w:val="none"/>
        </w:rPr>
        <w:t>27键键盘，防爆防水金属键盘</w:t>
      </w:r>
    </w:p>
    <w:p>
      <w:pPr>
        <w:numPr>
          <w:ilvl w:val="0"/>
          <w:numId w:val="6"/>
        </w:numPr>
        <w:tabs>
          <w:tab w:val="left" w:pos="720"/>
        </w:tabs>
        <w:adjustRightInd w:val="0"/>
        <w:snapToGrid w:val="0"/>
        <w:spacing w:line="360" w:lineRule="auto"/>
        <w:ind w:left="626" w:leftChars="198" w:hanging="210" w:hangingChars="100"/>
        <w:outlineLvl w:val="4"/>
        <w:rPr>
          <w:rFonts w:hint="eastAsia" w:ascii="宋体" w:hAnsi="宋体" w:cs="宋体"/>
          <w:bCs/>
          <w:color w:val="auto"/>
          <w:highlight w:val="none"/>
        </w:rPr>
      </w:pPr>
      <w:r>
        <w:rPr>
          <w:rFonts w:hint="eastAsia" w:ascii="宋体" w:hAnsi="宋体" w:cs="宋体"/>
          <w:bCs/>
          <w:color w:val="auto"/>
          <w:highlight w:val="none"/>
        </w:rPr>
        <w:t>保险柜容积：不少于270L</w:t>
      </w:r>
    </w:p>
    <w:p>
      <w:pPr>
        <w:numPr>
          <w:ilvl w:val="0"/>
          <w:numId w:val="6"/>
        </w:numPr>
        <w:tabs>
          <w:tab w:val="left" w:pos="720"/>
        </w:tabs>
        <w:adjustRightInd w:val="0"/>
        <w:snapToGrid w:val="0"/>
        <w:spacing w:line="360" w:lineRule="auto"/>
        <w:ind w:left="626" w:leftChars="198" w:hanging="210" w:hangingChars="100"/>
        <w:outlineLvl w:val="4"/>
        <w:rPr>
          <w:rFonts w:hint="eastAsia" w:ascii="宋体" w:hAnsi="宋体" w:cs="宋体"/>
          <w:bCs/>
          <w:color w:val="auto"/>
          <w:highlight w:val="none"/>
        </w:rPr>
      </w:pPr>
      <w:r>
        <w:rPr>
          <w:rFonts w:hint="eastAsia" w:ascii="宋体" w:hAnsi="宋体" w:cs="宋体"/>
          <w:bCs/>
          <w:color w:val="auto"/>
          <w:highlight w:val="none"/>
        </w:rPr>
        <w:t>标配金库包：260×180×65mm</w:t>
      </w:r>
    </w:p>
    <w:p>
      <w:pPr>
        <w:numPr>
          <w:ilvl w:val="0"/>
          <w:numId w:val="6"/>
        </w:numPr>
        <w:tabs>
          <w:tab w:val="left" w:pos="720"/>
        </w:tabs>
        <w:adjustRightInd w:val="0"/>
        <w:snapToGrid w:val="0"/>
        <w:spacing w:line="360" w:lineRule="auto"/>
        <w:ind w:left="626" w:leftChars="198" w:hanging="210" w:hangingChars="100"/>
        <w:outlineLvl w:val="4"/>
        <w:rPr>
          <w:rFonts w:hint="eastAsia" w:ascii="宋体" w:hAnsi="宋体" w:cs="宋体"/>
          <w:bCs/>
          <w:color w:val="auto"/>
          <w:highlight w:val="none"/>
        </w:rPr>
      </w:pPr>
      <w:r>
        <w:rPr>
          <w:rFonts w:hint="eastAsia" w:ascii="宋体" w:hAnsi="宋体" w:cs="宋体"/>
          <w:bCs/>
          <w:color w:val="auto"/>
          <w:highlight w:val="none"/>
        </w:rPr>
        <w:t>工作温度：-10℃～+55℃</w:t>
      </w:r>
    </w:p>
    <w:p>
      <w:pPr>
        <w:numPr>
          <w:ilvl w:val="0"/>
          <w:numId w:val="6"/>
        </w:numPr>
        <w:tabs>
          <w:tab w:val="left" w:pos="720"/>
        </w:tabs>
        <w:adjustRightInd w:val="0"/>
        <w:snapToGrid w:val="0"/>
        <w:spacing w:line="360" w:lineRule="auto"/>
        <w:ind w:left="626" w:leftChars="198" w:hanging="210" w:hangingChars="100"/>
        <w:outlineLvl w:val="4"/>
        <w:rPr>
          <w:rFonts w:hint="eastAsia" w:ascii="宋体" w:hAnsi="宋体" w:cs="宋体"/>
          <w:bCs/>
          <w:color w:val="auto"/>
          <w:highlight w:val="none"/>
        </w:rPr>
      </w:pPr>
      <w:r>
        <w:rPr>
          <w:rFonts w:hint="eastAsia" w:ascii="宋体" w:hAnsi="宋体" w:cs="宋体"/>
          <w:bCs/>
          <w:color w:val="auto"/>
          <w:highlight w:val="none"/>
        </w:rPr>
        <w:t>工作湿度：10%～95%</w:t>
      </w:r>
    </w:p>
    <w:p>
      <w:pPr>
        <w:numPr>
          <w:ilvl w:val="0"/>
          <w:numId w:val="6"/>
        </w:numPr>
        <w:tabs>
          <w:tab w:val="left" w:pos="720"/>
        </w:tabs>
        <w:adjustRightInd w:val="0"/>
        <w:snapToGrid w:val="0"/>
        <w:spacing w:line="360" w:lineRule="auto"/>
        <w:ind w:left="626" w:leftChars="198" w:hanging="210" w:hangingChars="100"/>
        <w:outlineLvl w:val="4"/>
        <w:rPr>
          <w:rFonts w:hint="eastAsia" w:ascii="宋体" w:hAnsi="宋体" w:cs="宋体"/>
          <w:bCs/>
          <w:color w:val="auto"/>
          <w:highlight w:val="none"/>
        </w:rPr>
      </w:pPr>
      <w:r>
        <w:rPr>
          <w:rFonts w:hint="eastAsia" w:ascii="宋体" w:hAnsi="宋体" w:cs="宋体"/>
          <w:bCs/>
          <w:color w:val="auto"/>
          <w:highlight w:val="none"/>
        </w:rPr>
        <w:t>内存记录保护时间:&gt; 10000小时</w:t>
      </w:r>
    </w:p>
    <w:p>
      <w:pPr>
        <w:numPr>
          <w:ilvl w:val="0"/>
          <w:numId w:val="6"/>
        </w:numPr>
        <w:tabs>
          <w:tab w:val="left" w:pos="720"/>
        </w:tabs>
        <w:adjustRightInd w:val="0"/>
        <w:snapToGrid w:val="0"/>
        <w:spacing w:line="360" w:lineRule="auto"/>
        <w:ind w:left="626" w:leftChars="198" w:hanging="210" w:hangingChars="100"/>
        <w:outlineLvl w:val="4"/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highlight w:val="none"/>
        </w:rPr>
        <w:t>收费员使用记录存储量:&gt; 1000条。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06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09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10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gzlhr2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91"/>
      <w:bookmarkStart w:id="1" w:name="_Toc332965960"/>
      <w:bookmarkStart w:id="2" w:name="_Toc332793818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eastAsia="zh-CN"/>
        </w:rPr>
        <w:t>廖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06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08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martSimSu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07F1E2C"/>
    <w:multiLevelType w:val="multilevel"/>
    <w:tmpl w:val="107F1E2C"/>
    <w:lvl w:ilvl="0" w:tentative="0">
      <w:start w:val="1"/>
      <w:numFmt w:val="bullet"/>
      <w:lvlText w:val="-"/>
      <w:lvlJc w:val="left"/>
      <w:pPr>
        <w:ind w:left="420" w:hanging="420"/>
      </w:pPr>
      <w:rPr>
        <w:rFonts w:hint="eastAsia" w:ascii="宋体" w:hAnsi="宋体" w:eastAsia="宋体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4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5">
    <w:nsid w:val="774865C3"/>
    <w:multiLevelType w:val="multilevel"/>
    <w:tmpl w:val="774865C3"/>
    <w:lvl w:ilvl="0" w:tentative="0">
      <w:start w:val="1"/>
      <w:numFmt w:val="bullet"/>
      <w:lvlText w:val="-"/>
      <w:lvlJc w:val="left"/>
      <w:pPr>
        <w:ind w:left="420" w:hanging="420"/>
      </w:pPr>
      <w:rPr>
        <w:rFonts w:hint="eastAsia" w:ascii="宋体" w:hAnsi="宋体" w:eastAsia="宋体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622CB2"/>
    <w:rsid w:val="066D593A"/>
    <w:rsid w:val="072D08E0"/>
    <w:rsid w:val="08EE3671"/>
    <w:rsid w:val="0A69025B"/>
    <w:rsid w:val="0C0C29EB"/>
    <w:rsid w:val="0DA26991"/>
    <w:rsid w:val="0ECB4993"/>
    <w:rsid w:val="112A7044"/>
    <w:rsid w:val="12ED5CBA"/>
    <w:rsid w:val="14C447F8"/>
    <w:rsid w:val="18606150"/>
    <w:rsid w:val="19B32EC3"/>
    <w:rsid w:val="1A0861DC"/>
    <w:rsid w:val="1A786886"/>
    <w:rsid w:val="1D5379E4"/>
    <w:rsid w:val="1DC008E5"/>
    <w:rsid w:val="1F3E25C9"/>
    <w:rsid w:val="1F8905C9"/>
    <w:rsid w:val="20205D7D"/>
    <w:rsid w:val="2039362C"/>
    <w:rsid w:val="24875F4B"/>
    <w:rsid w:val="268D4A24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4403FA4"/>
    <w:rsid w:val="34DB5F68"/>
    <w:rsid w:val="35912415"/>
    <w:rsid w:val="38A511DA"/>
    <w:rsid w:val="3A681374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22E227F"/>
    <w:rsid w:val="434B112E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4DE26C1E"/>
    <w:rsid w:val="50DE6FEF"/>
    <w:rsid w:val="515756D7"/>
    <w:rsid w:val="52871060"/>
    <w:rsid w:val="52ED4007"/>
    <w:rsid w:val="54210D44"/>
    <w:rsid w:val="560F1B9D"/>
    <w:rsid w:val="57BF2D4E"/>
    <w:rsid w:val="586C7BC7"/>
    <w:rsid w:val="58B74CBC"/>
    <w:rsid w:val="5B2814D9"/>
    <w:rsid w:val="5E8E770E"/>
    <w:rsid w:val="5F087C2D"/>
    <w:rsid w:val="61147E15"/>
    <w:rsid w:val="623B7383"/>
    <w:rsid w:val="63166D1A"/>
    <w:rsid w:val="65922BE0"/>
    <w:rsid w:val="672D5C9D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C7F737F"/>
    <w:rsid w:val="7DD345AE"/>
    <w:rsid w:val="7ECD61A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31"/>
    <w:basedOn w:val="14"/>
    <w:qFormat/>
    <w:uiPriority w:val="0"/>
    <w:rPr>
      <w:rFonts w:hint="default" w:ascii="smartSimSun" w:hAnsi="smartSimSun" w:eastAsia="smartSimSun" w:cs="smartSimSun"/>
      <w:color w:val="000000"/>
      <w:sz w:val="24"/>
      <w:szCs w:val="24"/>
      <w:u w:val="none"/>
    </w:rPr>
  </w:style>
  <w:style w:type="character" w:customStyle="1" w:styleId="41">
    <w:name w:val="font4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2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3">
    <w:name w:val="font11"/>
    <w:basedOn w:val="14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44">
    <w:name w:val="font5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5">
    <w:name w:val="font71"/>
    <w:basedOn w:val="14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46">
    <w:name w:val="font61"/>
    <w:basedOn w:val="14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887</Words>
  <Characters>1020</Characters>
  <Lines>61</Lines>
  <Paragraphs>17</Paragraphs>
  <TotalTime>1</TotalTime>
  <ScaleCrop>false</ScaleCrop>
  <LinksUpToDate>false</LinksUpToDate>
  <CharactersWithSpaces>1083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2023-06-08T07:27:12Z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