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</w:rPr>
        <w:t>广东省高速公路有限公司司属营运路段2022年机电养护工程（JD3）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双电源开关柜、配电房开关改造采购意向征集公告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</w:rPr>
        <w:t>广东省高速公路有限公司司属营运路段2022年机电养护工程（JD3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lang w:eastAsia="zh-CN"/>
        </w:rPr>
        <w:t>）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3"/>
        <w:tblW w:w="82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6"/>
        <w:gridCol w:w="2031"/>
        <w:gridCol w:w="1125"/>
        <w:gridCol w:w="759"/>
        <w:gridCol w:w="945"/>
        <w:gridCol w:w="22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53" w:hRule="atLeast"/>
          <w:jc w:val="center"/>
        </w:trPr>
        <w:tc>
          <w:tcPr>
            <w:tcW w:w="11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20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材料名称</w:t>
            </w: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75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228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3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szCs w:val="21"/>
                <w:lang w:val="en-US"/>
              </w:rPr>
            </w:pPr>
            <w:r>
              <w:rPr>
                <w:rFonts w:hint="eastAsia"/>
                <w:szCs w:val="21"/>
                <w:lang w:val="en-US" w:eastAsia="zh-CN"/>
              </w:rPr>
              <w:t>807-1-6</w:t>
            </w:r>
          </w:p>
        </w:tc>
        <w:tc>
          <w:tcPr>
            <w:tcW w:w="203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szCs w:val="21"/>
                <w:lang w:val="en-US"/>
              </w:rPr>
            </w:pPr>
            <w:r>
              <w:rPr>
                <w:rFonts w:hint="eastAsia"/>
                <w:szCs w:val="21"/>
                <w:lang w:val="en-US" w:eastAsia="zh-CN"/>
              </w:rPr>
              <w:t>ATS双电源开关柜</w:t>
            </w: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</w:p>
        </w:tc>
        <w:tc>
          <w:tcPr>
            <w:tcW w:w="75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套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228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3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807-1-7</w:t>
            </w:r>
          </w:p>
        </w:tc>
        <w:tc>
          <w:tcPr>
            <w:tcW w:w="203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配电房开关柜改造</w:t>
            </w: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</w:p>
        </w:tc>
        <w:tc>
          <w:tcPr>
            <w:tcW w:w="75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项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228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含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228米YJV-1-240㎡电缆、铺设、原柜体移动、线路改造及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所需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铜排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、线耳等辅材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包括运输、安装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费、</w:t>
      </w:r>
      <w:r>
        <w:rPr>
          <w:bCs/>
          <w:snapToGrid w:val="0"/>
          <w:kern w:val="0"/>
          <w:sz w:val="24"/>
        </w:rPr>
        <w:t>调试费、保险费、税费、试运行及缺</w:t>
      </w:r>
      <w:bookmarkStart w:id="3" w:name="_GoBack"/>
      <w:bookmarkEnd w:id="3"/>
      <w:r>
        <w:rPr>
          <w:bCs/>
          <w:snapToGrid w:val="0"/>
          <w:kern w:val="0"/>
          <w:sz w:val="24"/>
        </w:rPr>
        <w:t>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</w:t>
      </w:r>
      <w:r>
        <w:rPr>
          <w:rFonts w:hint="eastAsia"/>
          <w:bCs/>
          <w:snapToGrid w:val="0"/>
          <w:kern w:val="0"/>
          <w:sz w:val="24"/>
          <w:lang w:eastAsia="zh-CN"/>
        </w:rPr>
        <w:t>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b/>
          <w:snapToGrid w:val="0"/>
          <w:kern w:val="0"/>
          <w:sz w:val="24"/>
        </w:rPr>
        <w:t>技术要求</w:t>
      </w:r>
    </w:p>
    <w:p>
      <w:pPr>
        <w:tabs>
          <w:tab w:val="left" w:pos="312"/>
        </w:tabs>
        <w:topLinePunct/>
        <w:spacing w:line="240" w:lineRule="auto"/>
        <w:ind w:firstLine="420" w:firstLineChars="200"/>
        <w:outlineLvl w:val="1"/>
        <w:rPr>
          <w:rFonts w:hint="eastAsia" w:ascii="Times New Roman" w:hAnsi="Times New Roman" w:eastAsia="宋体" w:cs="Times New Roman"/>
          <w:bCs/>
          <w:snapToGrid w:val="0"/>
          <w:kern w:val="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1"/>
          <w:szCs w:val="21"/>
          <w:lang w:val="en-US" w:eastAsia="zh-CN" w:bidi="ar-SA"/>
        </w:rPr>
        <w:t>市电与柴油发电机组之间电源转换设置双电源切换柜，柜内设置双电源转换开关，转换开关为 PC 级 ATS。双电源切换装置应符合 IEC60947-6-1 和 GB/T14048.11-2008 标准，并提供相应的“CCC”认证证书。</w:t>
      </w:r>
    </w:p>
    <w:p>
      <w:pPr>
        <w:tabs>
          <w:tab w:val="left" w:pos="312"/>
        </w:tabs>
        <w:topLinePunct/>
        <w:spacing w:line="240" w:lineRule="auto"/>
        <w:ind w:firstLine="420" w:firstLineChars="200"/>
        <w:outlineLvl w:val="1"/>
        <w:rPr>
          <w:rFonts w:hint="eastAsia" w:ascii="Times New Roman" w:hAnsi="Times New Roman" w:eastAsia="宋体" w:cs="Times New Roman"/>
          <w:bCs/>
          <w:snapToGrid w:val="0"/>
          <w:kern w:val="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1"/>
          <w:szCs w:val="21"/>
          <w:lang w:val="en-US" w:eastAsia="zh-CN" w:bidi="ar-SA"/>
        </w:rPr>
        <w:t>对 PC 级双电源自动转换开关 ATS 的特别要求：</w:t>
      </w:r>
    </w:p>
    <w:p>
      <w:pPr>
        <w:tabs>
          <w:tab w:val="left" w:pos="312"/>
        </w:tabs>
        <w:topLinePunct/>
        <w:spacing w:line="240" w:lineRule="auto"/>
        <w:ind w:firstLine="420" w:firstLineChars="200"/>
        <w:outlineLvl w:val="1"/>
        <w:rPr>
          <w:rFonts w:hint="eastAsia" w:ascii="Times New Roman" w:hAnsi="Times New Roman" w:eastAsia="宋体" w:cs="Times New Roman"/>
          <w:bCs/>
          <w:snapToGrid w:val="0"/>
          <w:kern w:val="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1"/>
          <w:szCs w:val="21"/>
          <w:lang w:val="en-US" w:eastAsia="zh-CN" w:bidi="ar-SA"/>
        </w:rPr>
        <w:t>ATS 为一体化设计的 PC 级双电源自动转换开关。</w:t>
      </w:r>
    </w:p>
    <w:p>
      <w:pPr>
        <w:tabs>
          <w:tab w:val="left" w:pos="312"/>
        </w:tabs>
        <w:topLinePunct/>
        <w:spacing w:line="240" w:lineRule="auto"/>
        <w:ind w:firstLine="420" w:firstLineChars="200"/>
        <w:outlineLvl w:val="1"/>
        <w:rPr>
          <w:rFonts w:hint="eastAsia" w:ascii="Times New Roman" w:hAnsi="Times New Roman" w:eastAsia="宋体" w:cs="Times New Roman"/>
          <w:bCs/>
          <w:snapToGrid w:val="0"/>
          <w:kern w:val="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1"/>
          <w:szCs w:val="21"/>
          <w:lang w:val="en-US" w:eastAsia="zh-CN" w:bidi="ar-SA"/>
        </w:rPr>
        <w:t>自动转换开关额定绝缘电压为 690V ；</w:t>
      </w:r>
    </w:p>
    <w:p>
      <w:pPr>
        <w:tabs>
          <w:tab w:val="left" w:pos="312"/>
        </w:tabs>
        <w:topLinePunct/>
        <w:spacing w:line="240" w:lineRule="auto"/>
        <w:ind w:firstLine="420" w:firstLineChars="200"/>
        <w:outlineLvl w:val="1"/>
        <w:rPr>
          <w:rFonts w:hint="eastAsia" w:ascii="Times New Roman" w:hAnsi="Times New Roman" w:eastAsia="宋体" w:cs="Times New Roman"/>
          <w:bCs/>
          <w:snapToGrid w:val="0"/>
          <w:kern w:val="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1"/>
          <w:szCs w:val="21"/>
          <w:lang w:val="en-US" w:eastAsia="zh-CN" w:bidi="ar-SA"/>
        </w:rPr>
        <w:t>自动转换开关使用类别是 AC-33A ；</w:t>
      </w:r>
    </w:p>
    <w:p>
      <w:pPr>
        <w:tabs>
          <w:tab w:val="left" w:pos="312"/>
        </w:tabs>
        <w:topLinePunct/>
        <w:spacing w:line="240" w:lineRule="auto"/>
        <w:ind w:firstLine="420" w:firstLineChars="200"/>
        <w:outlineLvl w:val="1"/>
        <w:rPr>
          <w:rFonts w:hint="eastAsia" w:ascii="Times New Roman" w:hAnsi="Times New Roman" w:eastAsia="宋体" w:cs="Times New Roman"/>
          <w:bCs/>
          <w:snapToGrid w:val="0"/>
          <w:kern w:val="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1"/>
          <w:szCs w:val="21"/>
          <w:lang w:val="en-US" w:eastAsia="zh-CN" w:bidi="ar-SA"/>
        </w:rPr>
        <w:t>自动转换开关为 PC 级双投型，直流线圈瞬间激磁驱动，线圈在正常情况下不通电，只有在转换的瞬间通电，触头转换时间小于 100 毫秒；</w:t>
      </w:r>
    </w:p>
    <w:p>
      <w:pPr>
        <w:tabs>
          <w:tab w:val="left" w:pos="312"/>
        </w:tabs>
        <w:topLinePunct/>
        <w:spacing w:line="240" w:lineRule="auto"/>
        <w:ind w:firstLine="420" w:firstLineChars="200"/>
        <w:outlineLvl w:val="1"/>
        <w:rPr>
          <w:rFonts w:hint="eastAsia" w:ascii="Times New Roman" w:hAnsi="Times New Roman" w:eastAsia="宋体" w:cs="Times New Roman"/>
          <w:bCs/>
          <w:snapToGrid w:val="0"/>
          <w:kern w:val="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1"/>
          <w:szCs w:val="21"/>
          <w:lang w:val="en-US" w:eastAsia="zh-CN" w:bidi="ar-SA"/>
        </w:rPr>
        <w:t>中性线应具备先接后离的功能，以避免转换过程中，某一相电压突然升高，中性线的容量和相线的容量相等，并都带有灭弧室，禁止采用中性线重叠切换；</w:t>
      </w:r>
    </w:p>
    <w:p>
      <w:pPr>
        <w:tabs>
          <w:tab w:val="left" w:pos="312"/>
        </w:tabs>
        <w:topLinePunct/>
        <w:spacing w:line="240" w:lineRule="auto"/>
        <w:ind w:firstLine="420" w:firstLineChars="200"/>
        <w:outlineLvl w:val="1"/>
        <w:rPr>
          <w:rFonts w:hint="eastAsia" w:ascii="Times New Roman" w:hAnsi="Times New Roman" w:eastAsia="宋体" w:cs="Times New Roman"/>
          <w:bCs/>
          <w:snapToGrid w:val="0"/>
          <w:kern w:val="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1"/>
          <w:szCs w:val="21"/>
          <w:lang w:val="en-US" w:eastAsia="zh-CN" w:bidi="ar-SA"/>
        </w:rPr>
        <w:t>控制器配有液晶显示器，具备事件纪录功能，在无人值守时，可自动记录 ATS 的每一个动作及发生的时间；</w:t>
      </w:r>
    </w:p>
    <w:p>
      <w:pPr>
        <w:tabs>
          <w:tab w:val="left" w:pos="312"/>
        </w:tabs>
        <w:topLinePunct/>
        <w:spacing w:line="240" w:lineRule="auto"/>
        <w:ind w:firstLine="420" w:firstLineChars="200"/>
        <w:outlineLvl w:val="1"/>
        <w:rPr>
          <w:rFonts w:hint="eastAsia" w:ascii="Times New Roman" w:hAnsi="Times New Roman" w:eastAsia="宋体" w:cs="Times New Roman"/>
          <w:bCs/>
          <w:snapToGrid w:val="0"/>
          <w:kern w:val="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1"/>
          <w:szCs w:val="21"/>
          <w:lang w:val="en-US" w:eastAsia="zh-CN" w:bidi="ar-SA"/>
        </w:rPr>
        <w:t>两路电源切换具有自投自复式，自投不自复（互为备用）的选择功能。</w:t>
      </w:r>
    </w:p>
    <w:p>
      <w:pPr>
        <w:tabs>
          <w:tab w:val="left" w:pos="312"/>
        </w:tabs>
        <w:topLinePunct/>
        <w:spacing w:line="240" w:lineRule="auto"/>
        <w:ind w:firstLine="420" w:firstLineChars="200"/>
        <w:outlineLvl w:val="1"/>
        <w:rPr>
          <w:rFonts w:hint="eastAsia" w:ascii="Times New Roman" w:hAnsi="Times New Roman" w:eastAsia="宋体" w:cs="Times New Roman"/>
          <w:bCs/>
          <w:snapToGrid w:val="0"/>
          <w:kern w:val="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1"/>
          <w:szCs w:val="21"/>
          <w:lang w:val="en-US" w:eastAsia="zh-CN" w:bidi="ar-SA"/>
        </w:rPr>
        <w:t>ATS 配备手动和电动选择开关，以便在 ATS 纯机械手动操作时，防止电动动作，保证操作人员的安全。</w:t>
      </w:r>
    </w:p>
    <w:p>
      <w:pPr>
        <w:tabs>
          <w:tab w:val="left" w:pos="312"/>
        </w:tabs>
        <w:topLinePunct/>
        <w:spacing w:line="240" w:lineRule="auto"/>
        <w:ind w:firstLine="420" w:firstLineChars="200"/>
        <w:outlineLvl w:val="1"/>
        <w:rPr>
          <w:rFonts w:hint="eastAsia" w:ascii="Times New Roman" w:hAnsi="Times New Roman" w:eastAsia="宋体" w:cs="Times New Roman"/>
          <w:bCs/>
          <w:snapToGrid w:val="0"/>
          <w:kern w:val="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1"/>
          <w:szCs w:val="21"/>
          <w:lang w:val="en-US" w:eastAsia="zh-CN" w:bidi="ar-SA"/>
        </w:rPr>
        <w:t>控制器具备双电源自动转换系统自动测试功能，可选择空载/带载测试功能。</w:t>
      </w:r>
    </w:p>
    <w:p>
      <w:pPr>
        <w:tabs>
          <w:tab w:val="left" w:pos="312"/>
        </w:tabs>
        <w:topLinePunct/>
        <w:spacing w:line="240" w:lineRule="auto"/>
        <w:ind w:firstLine="420" w:firstLineChars="200"/>
        <w:outlineLvl w:val="1"/>
        <w:rPr>
          <w:rFonts w:hint="eastAsia" w:ascii="Times New Roman" w:hAnsi="Times New Roman" w:eastAsia="宋体" w:cs="Times New Roman"/>
          <w:bCs/>
          <w:snapToGrid w:val="0"/>
          <w:kern w:val="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1"/>
          <w:szCs w:val="21"/>
          <w:lang w:val="en-US" w:eastAsia="zh-CN" w:bidi="ar-SA"/>
        </w:rPr>
        <w:t>控制器应该具有转换，零位停留，返回，发电机冷机等待时间的可调延时功能。</w:t>
      </w:r>
    </w:p>
    <w:p>
      <w:pPr>
        <w:tabs>
          <w:tab w:val="left" w:pos="312"/>
        </w:tabs>
        <w:topLinePunct/>
        <w:spacing w:line="240" w:lineRule="auto"/>
        <w:ind w:firstLine="420" w:firstLineChars="200"/>
        <w:outlineLvl w:val="1"/>
        <w:rPr>
          <w:rFonts w:hint="eastAsia" w:ascii="Times New Roman" w:hAnsi="Times New Roman" w:eastAsia="宋体" w:cs="Times New Roman"/>
          <w:bCs/>
          <w:snapToGrid w:val="0"/>
          <w:kern w:val="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1"/>
          <w:szCs w:val="21"/>
          <w:lang w:val="en-US" w:eastAsia="zh-CN" w:bidi="ar-SA"/>
        </w:rPr>
        <w:t>双电源切换装置的电动模块、控制模块和开关本体为模块化设计，可以在不断电的情况下单独更换电动模块和控制模块，便于在线维护及检修。</w:t>
      </w:r>
    </w:p>
    <w:p>
      <w:pPr>
        <w:tabs>
          <w:tab w:val="left" w:pos="312"/>
        </w:tabs>
        <w:topLinePunct/>
        <w:spacing w:line="240" w:lineRule="auto"/>
        <w:ind w:firstLine="420" w:firstLineChars="200"/>
        <w:outlineLvl w:val="1"/>
        <w:rPr>
          <w:rFonts w:hint="eastAsia" w:ascii="Times New Roman" w:hAnsi="Times New Roman" w:eastAsia="宋体" w:cs="Times New Roman"/>
          <w:bCs/>
          <w:snapToGrid w:val="0"/>
          <w:kern w:val="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1"/>
          <w:szCs w:val="21"/>
          <w:lang w:val="en-US" w:eastAsia="zh-CN" w:bidi="ar-SA"/>
        </w:rPr>
        <w:t>双电源切换装置的控制器为微处理器式，可编程序，数码显示控制器，各种参数均可在线设置。</w:t>
      </w:r>
    </w:p>
    <w:p>
      <w:pPr>
        <w:tabs>
          <w:tab w:val="left" w:pos="312"/>
        </w:tabs>
        <w:topLinePunct/>
        <w:spacing w:line="240" w:lineRule="auto"/>
        <w:ind w:firstLine="420" w:firstLineChars="200"/>
        <w:outlineLvl w:val="1"/>
        <w:rPr>
          <w:rFonts w:hint="eastAsia" w:ascii="Times New Roman" w:hAnsi="Times New Roman" w:eastAsia="宋体" w:cs="Times New Roman"/>
          <w:bCs/>
          <w:snapToGrid w:val="0"/>
          <w:kern w:val="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1"/>
          <w:szCs w:val="21"/>
          <w:lang w:val="en-US" w:eastAsia="zh-CN" w:bidi="ar-SA"/>
        </w:rPr>
        <w:t>ATS 提供 RS485 通信接口，JBUS/MODBUS 通信规约的可选功能。</w:t>
      </w:r>
    </w:p>
    <w:p>
      <w:pPr>
        <w:tabs>
          <w:tab w:val="left" w:pos="312"/>
        </w:tabs>
        <w:topLinePunct/>
        <w:spacing w:line="240" w:lineRule="auto"/>
        <w:ind w:firstLine="420" w:firstLineChars="200"/>
        <w:outlineLvl w:val="1"/>
        <w:rPr>
          <w:rFonts w:hint="eastAsia" w:ascii="Times New Roman" w:hAnsi="Times New Roman" w:eastAsia="宋体" w:cs="Times New Roman"/>
          <w:bCs/>
          <w:snapToGrid w:val="0"/>
          <w:kern w:val="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1"/>
          <w:szCs w:val="21"/>
          <w:lang w:val="en-US" w:eastAsia="zh-CN" w:bidi="ar-SA"/>
        </w:rPr>
        <w:t>额定绝缘电压：1000V</w:t>
      </w:r>
    </w:p>
    <w:p>
      <w:pPr>
        <w:tabs>
          <w:tab w:val="left" w:pos="312"/>
        </w:tabs>
        <w:topLinePunct/>
        <w:spacing w:line="240" w:lineRule="auto"/>
        <w:ind w:firstLine="420" w:firstLineChars="200"/>
        <w:outlineLvl w:val="1"/>
        <w:rPr>
          <w:rFonts w:hint="eastAsia" w:ascii="Times New Roman" w:hAnsi="Times New Roman" w:eastAsia="宋体" w:cs="Times New Roman"/>
          <w:bCs/>
          <w:snapToGrid w:val="0"/>
          <w:kern w:val="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1"/>
          <w:szCs w:val="21"/>
          <w:lang w:val="en-US" w:eastAsia="zh-CN" w:bidi="ar-SA"/>
        </w:rPr>
        <w:t>额定运行电压：690V</w:t>
      </w:r>
    </w:p>
    <w:p>
      <w:pPr>
        <w:tabs>
          <w:tab w:val="left" w:pos="312"/>
        </w:tabs>
        <w:topLinePunct/>
        <w:spacing w:line="240" w:lineRule="auto"/>
        <w:ind w:firstLine="420" w:firstLineChars="200"/>
        <w:outlineLvl w:val="1"/>
        <w:rPr>
          <w:rFonts w:hint="eastAsia" w:ascii="Times New Roman" w:hAnsi="Times New Roman" w:eastAsia="宋体" w:cs="Times New Roman"/>
          <w:bCs/>
          <w:snapToGrid w:val="0"/>
          <w:kern w:val="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1"/>
          <w:szCs w:val="21"/>
          <w:lang w:val="en-US" w:eastAsia="zh-CN" w:bidi="ar-SA"/>
        </w:rPr>
        <w:t>试验电压：3500V</w:t>
      </w:r>
    </w:p>
    <w:p>
      <w:pPr>
        <w:tabs>
          <w:tab w:val="left" w:pos="312"/>
        </w:tabs>
        <w:topLinePunct/>
        <w:spacing w:line="240" w:lineRule="auto"/>
        <w:ind w:firstLine="420" w:firstLineChars="200"/>
        <w:outlineLvl w:val="1"/>
        <w:rPr>
          <w:rFonts w:hint="eastAsia" w:ascii="Times New Roman" w:hAnsi="Times New Roman" w:eastAsia="宋体" w:cs="Times New Roman"/>
          <w:bCs/>
          <w:snapToGrid w:val="0"/>
          <w:kern w:val="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1"/>
          <w:szCs w:val="21"/>
          <w:lang w:val="en-US" w:eastAsia="zh-CN" w:bidi="ar-SA"/>
        </w:rPr>
        <w:t>额定冲击耐压：12KV</w:t>
      </w:r>
    </w:p>
    <w:p>
      <w:pPr>
        <w:tabs>
          <w:tab w:val="left" w:pos="312"/>
        </w:tabs>
        <w:topLinePunct/>
        <w:spacing w:line="240" w:lineRule="auto"/>
        <w:ind w:firstLine="420" w:firstLineChars="200"/>
        <w:outlineLvl w:val="1"/>
        <w:rPr>
          <w:rFonts w:hint="eastAsia" w:ascii="Times New Roman" w:hAnsi="Times New Roman" w:eastAsia="宋体" w:cs="Times New Roman"/>
          <w:bCs/>
          <w:snapToGrid w:val="0"/>
          <w:kern w:val="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1"/>
          <w:szCs w:val="21"/>
          <w:lang w:val="en-US" w:eastAsia="zh-CN" w:bidi="ar-SA"/>
        </w:rPr>
        <w:t>热稳定电流：100KA RMS/IS</w:t>
      </w:r>
    </w:p>
    <w:p>
      <w:pPr>
        <w:tabs>
          <w:tab w:val="left" w:pos="312"/>
        </w:tabs>
        <w:topLinePunct/>
        <w:spacing w:line="240" w:lineRule="auto"/>
        <w:ind w:firstLine="420" w:firstLineChars="200"/>
        <w:outlineLvl w:val="1"/>
        <w:rPr>
          <w:rFonts w:hint="eastAsia" w:ascii="Times New Roman" w:hAnsi="Times New Roman" w:eastAsia="宋体" w:cs="Times New Roman"/>
          <w:bCs/>
          <w:snapToGrid w:val="0"/>
          <w:kern w:val="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1"/>
          <w:szCs w:val="21"/>
          <w:lang w:val="en-US" w:eastAsia="zh-CN" w:bidi="ar-SA"/>
        </w:rPr>
        <w:t>动稳定电流：220KV（峰值）</w:t>
      </w:r>
    </w:p>
    <w:p>
      <w:pPr>
        <w:tabs>
          <w:tab w:val="left" w:pos="312"/>
        </w:tabs>
        <w:topLinePunct/>
        <w:spacing w:line="240" w:lineRule="auto"/>
        <w:ind w:firstLine="420" w:firstLineChars="200"/>
        <w:outlineLvl w:val="1"/>
        <w:rPr>
          <w:rFonts w:hint="eastAsia" w:ascii="Times New Roman" w:hAnsi="Times New Roman" w:eastAsia="宋体" w:cs="Times New Roman"/>
          <w:bCs/>
          <w:snapToGrid w:val="0"/>
          <w:kern w:val="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1"/>
          <w:szCs w:val="21"/>
          <w:lang w:val="en-US" w:eastAsia="zh-CN" w:bidi="ar-SA"/>
        </w:rPr>
        <w:t>防护等级：IP4×</w:t>
      </w:r>
    </w:p>
    <w:p>
      <w:pPr>
        <w:tabs>
          <w:tab w:val="left" w:pos="312"/>
        </w:tabs>
        <w:topLinePunct/>
        <w:spacing w:line="240" w:lineRule="auto"/>
        <w:ind w:firstLine="420" w:firstLineChars="200"/>
        <w:outlineLvl w:val="1"/>
        <w:rPr>
          <w:rFonts w:hint="eastAsia" w:ascii="Times New Roman" w:hAnsi="Times New Roman" w:eastAsia="宋体" w:cs="Times New Roman"/>
          <w:bCs/>
          <w:snapToGrid w:val="0"/>
          <w:kern w:val="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1"/>
          <w:szCs w:val="21"/>
          <w:lang w:val="en-US" w:eastAsia="zh-CN" w:bidi="ar-SA"/>
        </w:rPr>
        <w:t>表面处理：热聚合的聚脂环氧树脂粉</w:t>
      </w:r>
    </w:p>
    <w:p>
      <w:pPr>
        <w:tabs>
          <w:tab w:val="left" w:pos="312"/>
        </w:tabs>
        <w:topLinePunct/>
        <w:spacing w:line="240" w:lineRule="auto"/>
        <w:ind w:firstLine="420" w:firstLineChars="200"/>
        <w:outlineLvl w:val="1"/>
        <w:rPr>
          <w:rFonts w:hint="eastAsia" w:ascii="Times New Roman" w:hAnsi="Times New Roman" w:eastAsia="宋体" w:cs="Times New Roman"/>
          <w:bCs/>
          <w:snapToGrid w:val="0"/>
          <w:kern w:val="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1"/>
          <w:szCs w:val="21"/>
          <w:lang w:val="en-US" w:eastAsia="zh-CN" w:bidi="ar-SA"/>
        </w:rPr>
        <w:t>分隔类型：抽屉式</w:t>
      </w:r>
    </w:p>
    <w:p>
      <w:pPr>
        <w:tabs>
          <w:tab w:val="left" w:pos="312"/>
        </w:tabs>
        <w:topLinePunct/>
        <w:spacing w:line="240" w:lineRule="auto"/>
        <w:ind w:firstLine="420" w:firstLineChars="200"/>
        <w:outlineLvl w:val="1"/>
        <w:rPr>
          <w:rFonts w:hint="eastAsia" w:ascii="Times New Roman" w:hAnsi="Times New Roman" w:eastAsia="宋体" w:cs="Times New Roman"/>
          <w:bCs/>
          <w:snapToGrid w:val="0"/>
          <w:kern w:val="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1"/>
          <w:szCs w:val="21"/>
          <w:lang w:val="en-US" w:eastAsia="zh-CN" w:bidi="ar-SA"/>
        </w:rPr>
        <w:t>主结构采用拼装方式，并保证在正常运输、仓储、安装条件下不会发生任何变形。</w:t>
      </w:r>
    </w:p>
    <w:p>
      <w:pPr>
        <w:tabs>
          <w:tab w:val="left" w:pos="312"/>
        </w:tabs>
        <w:topLinePunct/>
        <w:spacing w:line="240" w:lineRule="auto"/>
        <w:ind w:firstLine="420" w:firstLineChars="200"/>
        <w:outlineLvl w:val="1"/>
        <w:rPr>
          <w:rFonts w:hint="eastAsia" w:ascii="Times New Roman" w:hAnsi="Times New Roman" w:eastAsia="宋体" w:cs="Times New Roman"/>
          <w:bCs/>
          <w:snapToGrid w:val="0"/>
          <w:kern w:val="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1"/>
          <w:szCs w:val="21"/>
          <w:lang w:val="en-US" w:eastAsia="zh-CN" w:bidi="ar-SA"/>
        </w:rPr>
        <w:t>所有金属结构非带电部分均可靠接地，并由明显接地标志，保证操作人员安全。</w:t>
      </w:r>
    </w:p>
    <w:p>
      <w:pPr>
        <w:tabs>
          <w:tab w:val="left" w:pos="312"/>
        </w:tabs>
        <w:topLinePunct/>
        <w:spacing w:line="240" w:lineRule="auto"/>
        <w:ind w:firstLine="420" w:firstLineChars="200"/>
        <w:outlineLvl w:val="1"/>
        <w:rPr>
          <w:rFonts w:hint="eastAsia" w:ascii="Times New Roman" w:hAnsi="Times New Roman" w:eastAsia="宋体" w:cs="Times New Roman"/>
          <w:bCs/>
          <w:snapToGrid w:val="0"/>
          <w:kern w:val="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1"/>
          <w:szCs w:val="21"/>
          <w:lang w:val="en-US" w:eastAsia="zh-CN" w:bidi="ar-SA"/>
        </w:rPr>
        <w:t xml:space="preserve">主母排和支母排均为铜制，可采用裸铜排、搪锡、喷塑等处理方式，铜排质量符合 Cu－ETP </w:t>
      </w:r>
    </w:p>
    <w:p>
      <w:pPr>
        <w:tabs>
          <w:tab w:val="left" w:pos="312"/>
        </w:tabs>
        <w:topLinePunct/>
        <w:spacing w:line="240" w:lineRule="auto"/>
        <w:ind w:firstLine="420" w:firstLineChars="200"/>
        <w:outlineLvl w:val="1"/>
        <w:rPr>
          <w:rFonts w:hint="eastAsia" w:ascii="Times New Roman" w:hAnsi="Times New Roman" w:eastAsia="宋体" w:cs="Times New Roman"/>
          <w:bCs/>
          <w:snapToGrid w:val="0"/>
          <w:kern w:val="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1"/>
          <w:szCs w:val="21"/>
          <w:lang w:val="en-US" w:eastAsia="zh-CN" w:bidi="ar-SA"/>
        </w:rPr>
        <w:t>H12 标准（电解铜含量大于 99-9%）。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6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5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>23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10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1376039885</w:t>
      </w:r>
      <w:r>
        <w:rPr>
          <w:snapToGrid w:val="0"/>
          <w:color w:val="000000"/>
          <w:kern w:val="0"/>
          <w:sz w:val="24"/>
        </w:rPr>
        <w:t>@qq.com，逾期无效。采购人在收到响应回执后根据供应商信用信誉等情况进行讨论提议，按优先选取本公司库内供应商原则开展后续采购活动，不再另行发布采购公告。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李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 xml:space="preserve"> 5 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 xml:space="preserve"> 22 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2D1936"/>
    <w:rsid w:val="046E3765"/>
    <w:rsid w:val="06622CB2"/>
    <w:rsid w:val="066E078E"/>
    <w:rsid w:val="072D08E0"/>
    <w:rsid w:val="08EE3671"/>
    <w:rsid w:val="0A69025B"/>
    <w:rsid w:val="0DA26991"/>
    <w:rsid w:val="0ECB4993"/>
    <w:rsid w:val="0F4870A8"/>
    <w:rsid w:val="112A7044"/>
    <w:rsid w:val="12ED5CBA"/>
    <w:rsid w:val="14C447F8"/>
    <w:rsid w:val="18606150"/>
    <w:rsid w:val="18DA45EA"/>
    <w:rsid w:val="19B32EC3"/>
    <w:rsid w:val="1A786886"/>
    <w:rsid w:val="1D5379E4"/>
    <w:rsid w:val="1DC008E5"/>
    <w:rsid w:val="1F3E25C9"/>
    <w:rsid w:val="1F8905C9"/>
    <w:rsid w:val="1FA52467"/>
    <w:rsid w:val="20205D7D"/>
    <w:rsid w:val="2039362C"/>
    <w:rsid w:val="24875F4B"/>
    <w:rsid w:val="266B7A3B"/>
    <w:rsid w:val="28126A09"/>
    <w:rsid w:val="28F811E9"/>
    <w:rsid w:val="29D32454"/>
    <w:rsid w:val="2A6117E0"/>
    <w:rsid w:val="2A9C2048"/>
    <w:rsid w:val="2B975488"/>
    <w:rsid w:val="2BB05A29"/>
    <w:rsid w:val="2BBE1469"/>
    <w:rsid w:val="2C8A1BB8"/>
    <w:rsid w:val="2D393A69"/>
    <w:rsid w:val="2E0860D1"/>
    <w:rsid w:val="2E5A20BA"/>
    <w:rsid w:val="2ECB5FE2"/>
    <w:rsid w:val="3135465C"/>
    <w:rsid w:val="34403FA4"/>
    <w:rsid w:val="34DB5F68"/>
    <w:rsid w:val="35727698"/>
    <w:rsid w:val="35912415"/>
    <w:rsid w:val="369E36ED"/>
    <w:rsid w:val="387939C8"/>
    <w:rsid w:val="38A511DA"/>
    <w:rsid w:val="39691347"/>
    <w:rsid w:val="3A7D6982"/>
    <w:rsid w:val="3C047712"/>
    <w:rsid w:val="3DD1395F"/>
    <w:rsid w:val="3E8B59C6"/>
    <w:rsid w:val="3E8C010F"/>
    <w:rsid w:val="3EFD65C9"/>
    <w:rsid w:val="400E2C48"/>
    <w:rsid w:val="403A795B"/>
    <w:rsid w:val="4044389B"/>
    <w:rsid w:val="40C03B09"/>
    <w:rsid w:val="413E217A"/>
    <w:rsid w:val="42100EF9"/>
    <w:rsid w:val="434B112E"/>
    <w:rsid w:val="46C97C03"/>
    <w:rsid w:val="472B5FAC"/>
    <w:rsid w:val="48561630"/>
    <w:rsid w:val="48AD79E8"/>
    <w:rsid w:val="4908486B"/>
    <w:rsid w:val="49DC5C4D"/>
    <w:rsid w:val="4A44006F"/>
    <w:rsid w:val="4B4A0412"/>
    <w:rsid w:val="4BFB311F"/>
    <w:rsid w:val="4DA31AFF"/>
    <w:rsid w:val="4DB34E2F"/>
    <w:rsid w:val="4FB56C3C"/>
    <w:rsid w:val="50DE6FEF"/>
    <w:rsid w:val="515756D7"/>
    <w:rsid w:val="52871060"/>
    <w:rsid w:val="52ED4007"/>
    <w:rsid w:val="53346A12"/>
    <w:rsid w:val="53B75345"/>
    <w:rsid w:val="54210D44"/>
    <w:rsid w:val="560F1B9D"/>
    <w:rsid w:val="57BF2D4E"/>
    <w:rsid w:val="58B74CBC"/>
    <w:rsid w:val="59D90D8E"/>
    <w:rsid w:val="5A1D125B"/>
    <w:rsid w:val="5B2814D9"/>
    <w:rsid w:val="5D5F6439"/>
    <w:rsid w:val="5E8E770E"/>
    <w:rsid w:val="623B7383"/>
    <w:rsid w:val="63166D1A"/>
    <w:rsid w:val="636C693F"/>
    <w:rsid w:val="65922BE0"/>
    <w:rsid w:val="677156E7"/>
    <w:rsid w:val="691C1682"/>
    <w:rsid w:val="6AC87D14"/>
    <w:rsid w:val="6C083654"/>
    <w:rsid w:val="6C094604"/>
    <w:rsid w:val="6C751B3B"/>
    <w:rsid w:val="6E354925"/>
    <w:rsid w:val="6E4A295F"/>
    <w:rsid w:val="6E7361E8"/>
    <w:rsid w:val="70BB46E4"/>
    <w:rsid w:val="710B2708"/>
    <w:rsid w:val="724471CD"/>
    <w:rsid w:val="74963E13"/>
    <w:rsid w:val="75FE655D"/>
    <w:rsid w:val="760D37CC"/>
    <w:rsid w:val="79621230"/>
    <w:rsid w:val="79E2018B"/>
    <w:rsid w:val="7C7F737F"/>
    <w:rsid w:val="7DD345A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99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semiHidden/>
    <w:unhideWhenUsed/>
    <w:uiPriority w:val="99"/>
    <w:pPr>
      <w:ind w:firstLine="420" w:firstLineChars="200"/>
    </w:p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1231</Words>
  <Characters>1406</Characters>
  <Lines>61</Lines>
  <Paragraphs>17</Paragraphs>
  <TotalTime>2</TotalTime>
  <ScaleCrop>false</ScaleCrop>
  <LinksUpToDate>false</LinksUpToDate>
  <CharactersWithSpaces>1504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2023-05-22T09:33:11Z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