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lang w:eastAsia="zh-CN"/>
        </w:rPr>
        <w:t>广州市从化至黄埔高速公路一期工程机电工程（SG09合同段）</w:t>
      </w:r>
      <w:r>
        <w:rPr>
          <w:rFonts w:hint="eastAsia" w:eastAsia="仿宋_GB2312" w:cs="Times New Roman"/>
          <w:b/>
          <w:color w:val="000000"/>
          <w:sz w:val="32"/>
          <w:szCs w:val="32"/>
          <w:lang w:val="en-US" w:eastAsia="zh-CN"/>
        </w:rPr>
        <w:t>安全设备及车牌识别设备</w:t>
      </w:r>
      <w:r>
        <w:rPr>
          <w:rFonts w:eastAsia="仿宋_GB2312"/>
          <w:b/>
          <w:color w:val="000000"/>
          <w:sz w:val="32"/>
          <w:szCs w:val="32"/>
        </w:rPr>
        <w:t>采购意向征集公告</w:t>
      </w:r>
    </w:p>
    <w:p>
      <w:pPr>
        <w:spacing w:line="360" w:lineRule="auto"/>
        <w:jc w:val="center"/>
        <w:outlineLvl w:val="1"/>
        <w:rPr>
          <w:sz w:val="24"/>
        </w:rPr>
      </w:pPr>
      <w:bookmarkStart w:id="8" w:name="_GoBack"/>
      <w:bookmarkEnd w:id="8"/>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lang w:eastAsia="zh-CN"/>
        </w:rPr>
        <w:t>广州市从化至黄埔高速公路一期工程机电工程（SG09合同段）</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rPr>
        <w:t>广州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6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689"/>
        <w:gridCol w:w="1232"/>
        <w:gridCol w:w="641"/>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line="240" w:lineRule="auto"/>
              <w:jc w:val="center"/>
              <w:rPr>
                <w:szCs w:val="21"/>
              </w:rPr>
            </w:pPr>
            <w:r>
              <w:rPr>
                <w:szCs w:val="21"/>
              </w:rPr>
              <w:t>序号</w:t>
            </w:r>
          </w:p>
        </w:tc>
        <w:tc>
          <w:tcPr>
            <w:tcW w:w="1689" w:type="dxa"/>
            <w:shd w:val="clear" w:color="auto" w:fill="auto"/>
            <w:vAlign w:val="center"/>
          </w:tcPr>
          <w:p>
            <w:pPr>
              <w:spacing w:line="240" w:lineRule="auto"/>
              <w:jc w:val="center"/>
              <w:rPr>
                <w:szCs w:val="21"/>
              </w:rPr>
            </w:pPr>
            <w:r>
              <w:rPr>
                <w:rFonts w:hint="eastAsia"/>
                <w:szCs w:val="21"/>
                <w:lang w:eastAsia="zh-CN"/>
              </w:rPr>
              <w:t>设备</w:t>
            </w:r>
            <w:r>
              <w:rPr>
                <w:szCs w:val="21"/>
              </w:rPr>
              <w:t>名称</w:t>
            </w:r>
          </w:p>
        </w:tc>
        <w:tc>
          <w:tcPr>
            <w:tcW w:w="1232" w:type="dxa"/>
            <w:shd w:val="clear" w:color="auto" w:fill="auto"/>
            <w:vAlign w:val="center"/>
          </w:tcPr>
          <w:p>
            <w:pPr>
              <w:spacing w:line="240" w:lineRule="auto"/>
              <w:jc w:val="center"/>
              <w:rPr>
                <w:szCs w:val="21"/>
              </w:rPr>
            </w:pPr>
            <w:r>
              <w:rPr>
                <w:szCs w:val="21"/>
              </w:rPr>
              <w:t>品牌/型号</w:t>
            </w:r>
          </w:p>
        </w:tc>
        <w:tc>
          <w:tcPr>
            <w:tcW w:w="641" w:type="dxa"/>
            <w:shd w:val="clear" w:color="auto" w:fill="auto"/>
            <w:vAlign w:val="center"/>
          </w:tcPr>
          <w:p>
            <w:pPr>
              <w:spacing w:line="240" w:lineRule="auto"/>
              <w:jc w:val="center"/>
              <w:rPr>
                <w:szCs w:val="21"/>
              </w:rPr>
            </w:pPr>
            <w:r>
              <w:rPr>
                <w:szCs w:val="21"/>
              </w:rPr>
              <w:t>单位</w:t>
            </w:r>
          </w:p>
        </w:tc>
        <w:tc>
          <w:tcPr>
            <w:tcW w:w="923" w:type="dxa"/>
            <w:shd w:val="clear" w:color="auto" w:fill="auto"/>
            <w:vAlign w:val="center"/>
          </w:tcPr>
          <w:p>
            <w:pPr>
              <w:spacing w:line="240" w:lineRule="auto"/>
              <w:jc w:val="center"/>
              <w:rPr>
                <w:szCs w:val="21"/>
              </w:rPr>
            </w:pPr>
            <w:r>
              <w:rPr>
                <w:szCs w:val="21"/>
              </w:rPr>
              <w:t>数量</w:t>
            </w:r>
          </w:p>
        </w:tc>
        <w:tc>
          <w:tcPr>
            <w:tcW w:w="989" w:type="dxa"/>
            <w:shd w:val="clear" w:color="auto" w:fill="auto"/>
            <w:vAlign w:val="center"/>
          </w:tcPr>
          <w:p>
            <w:pPr>
              <w:spacing w:line="24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1</w:t>
            </w:r>
          </w:p>
        </w:tc>
        <w:tc>
          <w:tcPr>
            <w:tcW w:w="16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防火墙（收费中心）</w:t>
            </w:r>
          </w:p>
        </w:tc>
        <w:tc>
          <w:tcPr>
            <w:tcW w:w="1232"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c>
          <w:tcPr>
            <w:tcW w:w="641"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台</w:t>
            </w:r>
          </w:p>
        </w:tc>
        <w:tc>
          <w:tcPr>
            <w:tcW w:w="923"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1</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2</w:t>
            </w:r>
          </w:p>
        </w:tc>
        <w:tc>
          <w:tcPr>
            <w:tcW w:w="16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防火墙(收费站)</w:t>
            </w:r>
          </w:p>
        </w:tc>
        <w:tc>
          <w:tcPr>
            <w:tcW w:w="1232"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c>
          <w:tcPr>
            <w:tcW w:w="641"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套</w:t>
            </w:r>
          </w:p>
        </w:tc>
        <w:tc>
          <w:tcPr>
            <w:tcW w:w="923"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4</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3</w:t>
            </w:r>
          </w:p>
        </w:tc>
        <w:tc>
          <w:tcPr>
            <w:tcW w:w="16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路段中心防火墙</w:t>
            </w:r>
          </w:p>
        </w:tc>
        <w:tc>
          <w:tcPr>
            <w:tcW w:w="1232"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c>
          <w:tcPr>
            <w:tcW w:w="641"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台</w:t>
            </w:r>
          </w:p>
        </w:tc>
        <w:tc>
          <w:tcPr>
            <w:tcW w:w="923"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1</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4</w:t>
            </w:r>
          </w:p>
        </w:tc>
        <w:tc>
          <w:tcPr>
            <w:tcW w:w="16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网络准入系统（含终端管控）</w:t>
            </w:r>
          </w:p>
        </w:tc>
        <w:tc>
          <w:tcPr>
            <w:tcW w:w="1232"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c>
          <w:tcPr>
            <w:tcW w:w="641"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套</w:t>
            </w:r>
          </w:p>
        </w:tc>
        <w:tc>
          <w:tcPr>
            <w:tcW w:w="923"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default" w:hAnsiTheme="minorEastAsia" w:eastAsiaTheme="minorEastAsia"/>
                <w:szCs w:val="21"/>
                <w:lang w:val="en-US" w:eastAsia="zh-CN"/>
              </w:rPr>
              <w:t>1</w:t>
            </w:r>
          </w:p>
        </w:tc>
        <w:tc>
          <w:tcPr>
            <w:tcW w:w="989" w:type="dxa"/>
            <w:shd w:val="clear" w:color="auto" w:fill="auto"/>
            <w:vAlign w:val="center"/>
          </w:tcPr>
          <w:p>
            <w:pPr>
              <w:keepNext w:val="0"/>
              <w:keepLines w:val="0"/>
              <w:widowControl/>
              <w:suppressLineNumbers w:val="0"/>
              <w:jc w:val="right"/>
              <w:textAlignment w:val="center"/>
              <w:rPr>
                <w:rFonts w:hint="default"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5</w:t>
            </w:r>
          </w:p>
        </w:tc>
        <w:tc>
          <w:tcPr>
            <w:tcW w:w="16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高清车牌自动识别仪</w:t>
            </w:r>
          </w:p>
        </w:tc>
        <w:tc>
          <w:tcPr>
            <w:tcW w:w="1232"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c>
          <w:tcPr>
            <w:tcW w:w="641"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套</w:t>
            </w:r>
          </w:p>
        </w:tc>
        <w:tc>
          <w:tcPr>
            <w:tcW w:w="923"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31</w:t>
            </w:r>
          </w:p>
        </w:tc>
        <w:tc>
          <w:tcPr>
            <w:tcW w:w="989" w:type="dxa"/>
            <w:shd w:val="clear" w:color="auto" w:fill="auto"/>
            <w:vAlign w:val="center"/>
          </w:tcPr>
          <w:p>
            <w:pPr>
              <w:keepNext w:val="0"/>
              <w:keepLines w:val="0"/>
              <w:widowControl/>
              <w:suppressLineNumbers w:val="0"/>
              <w:jc w:val="right"/>
              <w:textAlignment w:val="center"/>
              <w:rPr>
                <w:rFonts w:hint="default" w:hAnsiTheme="minorEastAsia" w:eastAsiaTheme="minorEastAsia"/>
                <w:szCs w:val="21"/>
                <w:lang w:val="en-US" w:eastAsia="zh-CN"/>
              </w:rPr>
            </w:pPr>
            <w:r>
              <w:rPr>
                <w:rFonts w:hint="eastAsia" w:hAnsiTheme="minorEastAsia" w:eastAsiaTheme="minorEastAsia"/>
                <w:szCs w:val="21"/>
                <w:lang w:val="en-US" w:eastAsia="zh-CN"/>
              </w:rPr>
              <w:t>含立柱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6</w:t>
            </w:r>
          </w:p>
        </w:tc>
        <w:tc>
          <w:tcPr>
            <w:tcW w:w="16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闪光灯</w:t>
            </w:r>
          </w:p>
        </w:tc>
        <w:tc>
          <w:tcPr>
            <w:tcW w:w="1232"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c>
          <w:tcPr>
            <w:tcW w:w="641"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台</w:t>
            </w:r>
          </w:p>
        </w:tc>
        <w:tc>
          <w:tcPr>
            <w:tcW w:w="923"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31</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7</w:t>
            </w:r>
          </w:p>
        </w:tc>
        <w:tc>
          <w:tcPr>
            <w:tcW w:w="1689"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补光灯</w:t>
            </w:r>
          </w:p>
        </w:tc>
        <w:tc>
          <w:tcPr>
            <w:tcW w:w="1232"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p>
        </w:tc>
        <w:tc>
          <w:tcPr>
            <w:tcW w:w="641"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台</w:t>
            </w:r>
          </w:p>
        </w:tc>
        <w:tc>
          <w:tcPr>
            <w:tcW w:w="923" w:type="dxa"/>
            <w:shd w:val="clear" w:color="auto" w:fill="auto"/>
            <w:vAlign w:val="center"/>
          </w:tcPr>
          <w:p>
            <w:pPr>
              <w:spacing w:beforeLines="50" w:afterLines="50" w:line="240" w:lineRule="auto"/>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31</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eastAsia="zh-CN"/>
        </w:rPr>
        <w:t>指导安装调试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bCs/>
          <w:snapToGrid w:val="0"/>
          <w:kern w:val="0"/>
          <w:sz w:val="24"/>
        </w:rPr>
      </w:pPr>
      <w:r>
        <w:rPr>
          <w:bCs/>
          <w:snapToGrid w:val="0"/>
          <w:kern w:val="0"/>
          <w:sz w:val="24"/>
        </w:rPr>
        <w:t>最高限价：</w:t>
      </w:r>
      <w:r>
        <w:rPr>
          <w:rFonts w:hint="eastAsia"/>
          <w:bCs/>
          <w:snapToGrid w:val="0"/>
          <w:kern w:val="0"/>
          <w:sz w:val="24"/>
          <w:lang w:val="en-US" w:eastAsia="zh-CN"/>
        </w:rPr>
        <w:t>431656.50</w:t>
      </w:r>
      <w:r>
        <w:rPr>
          <w:bCs/>
          <w:snapToGrid w:val="0"/>
          <w:kern w:val="0"/>
          <w:sz w:val="24"/>
        </w:rPr>
        <w:t>元。</w:t>
      </w:r>
    </w:p>
    <w:p>
      <w:pPr>
        <w:numPr>
          <w:ilvl w:val="0"/>
          <w:numId w:val="3"/>
        </w:numPr>
        <w:topLinePunct/>
        <w:spacing w:line="360" w:lineRule="auto"/>
        <w:outlineLvl w:val="1"/>
        <w:rPr>
          <w:b/>
          <w:bCs/>
          <w:color w:val="auto"/>
          <w:highlight w:val="none"/>
        </w:rPr>
      </w:pPr>
      <w:r>
        <w:rPr>
          <w:b/>
          <w:snapToGrid w:val="0"/>
          <w:kern w:val="0"/>
          <w:sz w:val="24"/>
        </w:rPr>
        <w:t>技术要求</w:t>
      </w:r>
      <w:bookmarkStart w:id="0" w:name="_Toc421"/>
    </w:p>
    <w:bookmarkEnd w:id="0"/>
    <w:p>
      <w:pPr>
        <w:pStyle w:val="5"/>
        <w:spacing w:line="360" w:lineRule="auto"/>
        <w:rPr>
          <w:rFonts w:hAnsi="宋体"/>
          <w:color w:val="auto"/>
          <w:sz w:val="24"/>
          <w:szCs w:val="24"/>
          <w:highlight w:val="none"/>
        </w:rPr>
      </w:pPr>
      <w:bookmarkStart w:id="1" w:name="_Toc6759"/>
      <w:r>
        <w:rPr>
          <w:rFonts w:hint="eastAsia" w:hAnsi="宋体"/>
          <w:color w:val="auto"/>
          <w:sz w:val="24"/>
          <w:szCs w:val="24"/>
          <w:highlight w:val="none"/>
        </w:rPr>
        <w:t>804-11-11</w:t>
      </w:r>
      <w:r>
        <w:rPr>
          <w:rFonts w:hint="eastAsia" w:hAnsi="宋体"/>
          <w:color w:val="auto"/>
          <w:sz w:val="24"/>
          <w:szCs w:val="24"/>
          <w:highlight w:val="none"/>
        </w:rPr>
        <w:tab/>
      </w:r>
      <w:r>
        <w:rPr>
          <w:rFonts w:hint="eastAsia" w:hAnsi="宋体"/>
          <w:color w:val="auto"/>
          <w:sz w:val="24"/>
          <w:szCs w:val="24"/>
          <w:highlight w:val="none"/>
        </w:rPr>
        <w:t>防火墙（收费中心）</w:t>
      </w:r>
      <w:bookmarkEnd w:id="1"/>
    </w:p>
    <w:p>
      <w:pPr>
        <w:pStyle w:val="9"/>
        <w:ind w:left="360" w:firstLine="420" w:firstLineChars="200"/>
        <w:rPr>
          <w:color w:val="auto"/>
          <w:highlight w:val="none"/>
        </w:rPr>
      </w:pPr>
      <w:r>
        <w:rPr>
          <w:rFonts w:hint="eastAsia"/>
          <w:color w:val="auto"/>
          <w:highlight w:val="none"/>
        </w:rPr>
        <w:t>主要技术指标如下：</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防火墙为独立机架式硬件产品，实配:防火墙吞吐量不少于5Gbps，应用层吞吐量不少于2Gbps、全威胁吞吐量不少于910Mbps，并发连接数不少于200万，HTTP新建连接速率不少于2.4万，千兆电口不少于8个，千兆光口不少于2个，万兆光口不少于2个，业务接口模块化可拔插扩展槽不少于1个,冗余电源。</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支持标准VPN功能，支持国密算法。</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支持常用数据交换技术，包括802.1Q VLAN Trunk、access接口，VLAN三层接口，子接口、GRE隧道；支持链路聚合功能；支持常用路由技术，包括静态路由、RIP、OSPF、BGP、策略路由等，确保可实现网络层主备链路之间的切换。</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支持IPv6安全控制策略设置，能针对IPv6的hopopts、dstopts、routing、fragment、ah、esp等扩展头类型进行设置（提供界面截图，任一缺失视为不满足）。</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支持入侵防护功能，包括僵尸网络，IPS漏洞防御，支持协议畸形检测。支持包括各类泛洪攻击、扫描攻击、欺骗攻击、异常报文攻击等常见网络攻击的防护。</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支持独立的僵木蠕检测防御引擎，支持预定义僵木蠕规则库，特征总数不少于1000条，可对僵尸、木马、蠕虫、勒索软件进行防护。</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支持对DGA、隐蔽信道、恶意加密流量进行检测，并实时记录日志。</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具备SQL注入、系统命令注入攻击、信息泄露攻击、Webshell检测、Web服务器漏洞攻击、路径遍历、扫描器防护、跨站脚本攻击、远程文件包含攻击、SSL注入攻击、LDAP注入、XPath注入攻击等防护能力（提供界面截图，任一缺失视为不满足）。</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防火墙系统基础组件：含病毒防护、入侵防御、IPSec VPN等功能三年升级服务授权</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支持通信层端口级别访问控制，并支持对匹配允许规则，但行为异常的流量进行检测，如各类利用合法端口进行的攻击行为。</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支持在访问控制策略中针对单独域名进行恶意代码防护。</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产品具备第三方机构出具的连续10年市场占有率前三名证明(提供证明)、产品厂商具备中国电子信息行业联合会颁发的信息系统建设和服务能力等级CS4证书(提供证书)、产品厂商具备TL9000证书(提供证书)、产品厂商具备中国信息安全测评中心颁发的CISP-DSG授权运营中心资质证书(提供证书)。</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根据业主需要开放接口。</w:t>
      </w:r>
    </w:p>
    <w:p>
      <w:pPr>
        <w:numPr>
          <w:ilvl w:val="0"/>
          <w:numId w:val="5"/>
        </w:numPr>
        <w:spacing w:line="360" w:lineRule="auto"/>
        <w:ind w:left="263" w:leftChars="125"/>
        <w:rPr>
          <w:color w:val="auto"/>
          <w:highlight w:val="none"/>
        </w:rPr>
      </w:pPr>
      <w:r>
        <w:rPr>
          <w:rFonts w:hint="eastAsia" w:hAnsi="宋体"/>
          <w:color w:val="auto"/>
          <w:highlight w:val="none"/>
        </w:rPr>
        <w:t>支持基于SMTP、POP3等邮件协议的发件人、收件人、主题、附件、邮件正文进行过滤，并支持转发不符合安全规则的邮件，同时邮件地址黑白名单、IP地址黑白名单方式的反垃圾邮件功能，并提供反垃圾邮件统计功能（提供界面截图，任一缺失视为不满足）。</w:t>
      </w:r>
    </w:p>
    <w:p>
      <w:pPr>
        <w:pStyle w:val="5"/>
        <w:spacing w:line="360" w:lineRule="auto"/>
        <w:rPr>
          <w:rFonts w:hAnsi="宋体"/>
          <w:color w:val="auto"/>
          <w:sz w:val="24"/>
          <w:szCs w:val="24"/>
          <w:highlight w:val="none"/>
        </w:rPr>
      </w:pPr>
      <w:bookmarkStart w:id="2" w:name="_Toc17073"/>
      <w:r>
        <w:rPr>
          <w:rFonts w:hint="eastAsia" w:hAnsi="宋体"/>
          <w:color w:val="auto"/>
          <w:sz w:val="24"/>
          <w:szCs w:val="24"/>
          <w:highlight w:val="none"/>
        </w:rPr>
        <w:t>804-11-13</w:t>
      </w:r>
      <w:r>
        <w:rPr>
          <w:rFonts w:hint="eastAsia" w:hAnsi="宋体"/>
          <w:color w:val="auto"/>
          <w:sz w:val="24"/>
          <w:szCs w:val="24"/>
          <w:highlight w:val="none"/>
        </w:rPr>
        <w:tab/>
      </w:r>
      <w:r>
        <w:rPr>
          <w:rFonts w:hint="eastAsia" w:hAnsi="宋体"/>
          <w:color w:val="auto"/>
          <w:sz w:val="24"/>
          <w:szCs w:val="24"/>
          <w:highlight w:val="none"/>
        </w:rPr>
        <w:t>防火墙(收费站)</w:t>
      </w:r>
      <w:bookmarkEnd w:id="2"/>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防火墙为独立机架式硬件产品，实配:防火墙吞吐量不少于1.5Gbps，应用层吞吐量不少于800Mbps，全威胁吞吐量不少于500Mbps，并发连接数不少于50万，HTTP新建连接速率不少于1.2万，千兆电口不少于5个，千兆光口不少于2个。</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支持标准VPN功能。</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支持常用数据交换技术，包括802.1Q VLAN Trunk、access接口，VLAN三层接口，子接口、GRE隧道；支持链路聚合功能；支持常用路由技术，包括静态路由、RIP、OSPF、BGP、策略路由、浮动路由等，确保可实现网络层主备链路之间的切换。</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支持IPv6安全控制策略设置，能针对IPv6的hopopts、dstopts、routing、fragment、ah、esp等扩展头类型进行设置（提供界面截图，任一缺失视为不满足）。</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支持入侵防护功能，包括僵尸网络，IPS漏洞防御，支持协议畸形检测。支持包括各类泛洪攻击、扫描攻击、欺骗攻击、异常报文攻击等常见网络攻击的防护。</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支持独立的僵木蠕检测防御引擎，支持预定义僵木蠕规则库，特征总数不少于1000条，可对僵尸、木马、蠕虫、勒索软件进行防护。</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支持通信层端口级别访问控制，并支持对匹配允许规则，但行为异常的流量进行检测，如各类利用合法端口进行的攻击行为。</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支持在访问控制策略中针对单独域名进行恶意代码防护。</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支持对单条访问控制策略进行最大活动连接数和长连接的限制（提供界面截图，任一缺失视为不满足）。</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防火墙系统基础组件：含病毒防护、入侵防御、IPSec VPN等功能三年升级服务授权。</w:t>
      </w:r>
    </w:p>
    <w:p>
      <w:pPr>
        <w:numPr>
          <w:ilvl w:val="0"/>
          <w:numId w:val="6"/>
        </w:numPr>
        <w:shd w:val="clear" w:color="auto" w:fill="FFFFFF"/>
        <w:spacing w:line="360" w:lineRule="auto"/>
        <w:ind w:left="426" w:firstLine="0"/>
        <w:rPr>
          <w:rFonts w:hint="eastAsia" w:hAnsi="宋体"/>
          <w:color w:val="auto"/>
          <w:highlight w:val="none"/>
        </w:rPr>
      </w:pPr>
      <w:r>
        <w:rPr>
          <w:rFonts w:hint="eastAsia" w:hAnsi="宋体"/>
          <w:color w:val="auto"/>
          <w:highlight w:val="none"/>
        </w:rPr>
        <w:t>产品具备第三方机构出具的连续10年市场占有率前三名证明(提供证明)、产品厂商具备中国电子信息行业联合会颁发的信息系统建设和服务能力等级CS4证书(提供证书)、产品厂商具备TL9000证书(提供证书)、产品厂商具备中国信息安全测评中心颁发的CISP-DSG授权运营中心资质证书(提供证书)。</w:t>
      </w:r>
    </w:p>
    <w:p>
      <w:pPr>
        <w:numPr>
          <w:ilvl w:val="0"/>
          <w:numId w:val="6"/>
        </w:numPr>
        <w:shd w:val="clear" w:color="auto" w:fill="FFFFFF"/>
        <w:spacing w:line="360" w:lineRule="auto"/>
        <w:ind w:left="426" w:firstLine="0"/>
        <w:rPr>
          <w:color w:val="auto"/>
          <w:highlight w:val="none"/>
        </w:rPr>
      </w:pPr>
      <w:r>
        <w:rPr>
          <w:rFonts w:hint="eastAsia" w:hAnsi="宋体"/>
          <w:color w:val="auto"/>
          <w:highlight w:val="none"/>
        </w:rPr>
        <w:t>支持TACACS等第三方外部认证设置（提供截图）。</w:t>
      </w:r>
    </w:p>
    <w:p>
      <w:pPr>
        <w:pStyle w:val="5"/>
        <w:spacing w:line="360" w:lineRule="auto"/>
        <w:rPr>
          <w:rFonts w:hAnsi="宋体"/>
          <w:color w:val="auto"/>
          <w:highlight w:val="none"/>
        </w:rPr>
      </w:pPr>
      <w:bookmarkStart w:id="3" w:name="_Toc28526"/>
      <w:r>
        <w:rPr>
          <w:rFonts w:hAnsi="宋体"/>
          <w:color w:val="auto"/>
          <w:sz w:val="24"/>
          <w:szCs w:val="24"/>
          <w:highlight w:val="none"/>
        </w:rPr>
        <w:t>804-11-</w:t>
      </w:r>
      <w:r>
        <w:rPr>
          <w:rFonts w:hint="eastAsia" w:hAnsi="宋体"/>
          <w:color w:val="auto"/>
          <w:sz w:val="24"/>
          <w:szCs w:val="24"/>
          <w:highlight w:val="none"/>
          <w:lang w:val="en-US" w:eastAsia="zh-CN"/>
        </w:rPr>
        <w:t>15</w:t>
      </w:r>
      <w:r>
        <w:rPr>
          <w:rFonts w:hAnsi="宋体"/>
          <w:color w:val="auto"/>
          <w:sz w:val="24"/>
          <w:szCs w:val="24"/>
          <w:highlight w:val="none"/>
        </w:rPr>
        <w:tab/>
      </w:r>
      <w:r>
        <w:rPr>
          <w:rFonts w:hint="eastAsia" w:hAnsi="宋体"/>
          <w:color w:val="auto"/>
          <w:sz w:val="24"/>
          <w:szCs w:val="24"/>
          <w:highlight w:val="none"/>
        </w:rPr>
        <w:t>路段中心防火墙</w:t>
      </w:r>
      <w:bookmarkEnd w:id="3"/>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产品由专用的硬件平台、安全操作系统及功能软件构成。设备采用自主知识产权的专用安全操作系统，采用多核多平台并行处理机制；</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实配:防火墙吞吐量不少于12Gbps，应用层吞吐量不少于10Gbps、全威胁吞吐量不少于1.5Gbps，并发连接数不少于300万，HTTP新建连接速率不少于10万；</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标准2U机箱；</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冗余电源；</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标准配置6个10/100/1000M自适应电口；</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10个SFP插槽，支持1个扩展槽，最大支持24个接口；</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含三年硬件维保服务及软件升级服务；</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防火墙系统基础组件：含病毒防护、入侵防御、IPSec VPN等功能三年升级服务授权。</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支持对IM等协议进行恶意代码防护（提供第三方测试报告，任一缺失视为不满足）。</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支持与防病毒网关、WAF、DLP、数据库审计等安全网元联动（提供第三方测试报告，任一缺失视为不满足）。</w:t>
      </w:r>
    </w:p>
    <w:p>
      <w:pPr>
        <w:numPr>
          <w:ilvl w:val="0"/>
          <w:numId w:val="6"/>
        </w:numPr>
        <w:shd w:val="clear" w:color="auto" w:fill="FFFFFF"/>
        <w:spacing w:line="360" w:lineRule="auto"/>
        <w:ind w:left="372" w:leftChars="177" w:firstLine="0"/>
        <w:rPr>
          <w:rFonts w:hint="eastAsia" w:hAnsi="宋体"/>
          <w:color w:val="auto"/>
          <w:highlight w:val="none"/>
        </w:rPr>
      </w:pPr>
      <w:r>
        <w:rPr>
          <w:rFonts w:hint="eastAsia" w:hAnsi="宋体"/>
          <w:color w:val="auto"/>
          <w:highlight w:val="none"/>
        </w:rPr>
        <w:t>支持一条策略实现源地址、源区域、源端口、用户、目的地址、目的区域、域名、服务、时间、应用、策略组、统计、策略日志、长连接、连接日志、原始目的地址、最大活动会话数、IPv6选项(逐跳扩展头、目的地扩展头、分段扩展头、认证扩展头、路由扩展头、ESP扩展头)、入侵防御、病毒过滤、WAF、URL过滤、数据过滤、文件过滤、审计策略、邮件安全、APT、防代理等功能调度（提供界面截图，任一缺失视为不满足）。</w:t>
      </w:r>
    </w:p>
    <w:p>
      <w:pPr>
        <w:numPr>
          <w:ilvl w:val="0"/>
          <w:numId w:val="6"/>
        </w:numPr>
        <w:shd w:val="clear" w:color="auto" w:fill="FFFFFF"/>
        <w:spacing w:line="360" w:lineRule="auto"/>
        <w:ind w:left="372" w:leftChars="177" w:firstLine="0"/>
        <w:rPr>
          <w:rFonts w:hAnsi="宋体"/>
          <w:color w:val="auto"/>
          <w:highlight w:val="none"/>
        </w:rPr>
      </w:pPr>
      <w:r>
        <w:rPr>
          <w:rFonts w:hint="eastAsia" w:hAnsi="宋体"/>
          <w:color w:val="auto"/>
          <w:highlight w:val="none"/>
        </w:rPr>
        <w:t>产品具备第三方机构出具的连续10年市场占有率前三名证明(提供证明)、产品厂商具备中国电子信息行业联合会颁发的信息系统建设和服务能力等级CS4证书(提供证书)、产品厂商具备TL9000证书(提供证书)、产品厂商具备中国信息安全测评中心颁发的CISP-DSG授权运营中心资质证书(提供证书)。</w:t>
      </w:r>
    </w:p>
    <w:p>
      <w:pPr>
        <w:pStyle w:val="5"/>
        <w:spacing w:line="360" w:lineRule="auto"/>
        <w:rPr>
          <w:rFonts w:hAnsi="宋体"/>
          <w:color w:val="auto"/>
          <w:sz w:val="24"/>
          <w:szCs w:val="24"/>
          <w:highlight w:val="none"/>
        </w:rPr>
      </w:pPr>
      <w:bookmarkStart w:id="4" w:name="_Toc19107"/>
      <w:r>
        <w:rPr>
          <w:rFonts w:hAnsi="宋体"/>
          <w:color w:val="auto"/>
          <w:sz w:val="24"/>
          <w:szCs w:val="24"/>
          <w:highlight w:val="none"/>
        </w:rPr>
        <w:t>804-13-5</w:t>
      </w:r>
      <w:r>
        <w:rPr>
          <w:rFonts w:hAnsi="宋体"/>
          <w:color w:val="auto"/>
          <w:sz w:val="24"/>
          <w:szCs w:val="24"/>
          <w:highlight w:val="none"/>
        </w:rPr>
        <w:tab/>
      </w:r>
      <w:r>
        <w:rPr>
          <w:rFonts w:hint="eastAsia" w:hAnsi="宋体"/>
          <w:color w:val="auto"/>
          <w:sz w:val="24"/>
          <w:szCs w:val="24"/>
          <w:highlight w:val="none"/>
        </w:rPr>
        <w:t>网络准入系统（含终端管控）</w:t>
      </w:r>
      <w:bookmarkEnd w:id="4"/>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网络准入系统为机架式设备，用于路段中心对非授权设备私自接入进行管控,最大支持终端同时在线数300。</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支持802.1X、Portal、透明网关、策略路由等多种准入模式选择，单设备情况下可进行混合准入模式应用。</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认证支持客户端认证及手机短信认证方式，客户端认证可与第三方AD域、LDAP服务器进行用户信息同步；手机短信认证可与短信服务器联动，在终端入网认证时下发验证码。</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支持同账户多在线管理，可设置同一用户名同时在线数量，并对用户名超过在线数进行处理</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支持访客入网管理，访客接入由受访人员（固定用户）协助其进行注册、账户创建等操作，并提供临时入网终端有效期管理，可设置在网时限。</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支持资产管理功能，可管理不同类型入网资产；提供交换机网络设备管理功能，可查看交换机设备接口状态、主机连接等详细信息。对入网资产可发现、可审批入网。</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入网终端健康检查，对检查项可进行权重、修复向导自定义设置，检查项包括：系统时间检查、系统运行时长检查、Guest用户检查、AD域域名检查、Windows文件共享检查、Windows防火墙检查、系统运行时间、操作系统版本、系统补丁、必须/禁止运行进程检查、必须/禁止运行服务检查、必须/禁止安装软件检查、Windows桌面屏保检查、杀毒软件版本（天融信EDR、小红伞、瑞星、金山毒霸、卡巴斯基、诺顿、360杀毒）等</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提供硬件BYPASS功能，支持双操作系统冷备、双机热备，在单机模式下，提供独立系统逃生工具。</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支持终端信息绑定认证，可检查入网终端IP、终端MAC、用户名、交换机IP、交换机端口、终端硬件ID等多要素信息。</w:t>
      </w:r>
    </w:p>
    <w:p>
      <w:pPr>
        <w:numPr>
          <w:ilvl w:val="0"/>
          <w:numId w:val="5"/>
        </w:numPr>
        <w:spacing w:line="360" w:lineRule="auto"/>
        <w:ind w:left="263" w:leftChars="125"/>
        <w:rPr>
          <w:rFonts w:hint="eastAsia" w:hAnsi="宋体"/>
          <w:color w:val="auto"/>
          <w:highlight w:val="none"/>
        </w:rPr>
      </w:pPr>
      <w:r>
        <w:rPr>
          <w:rFonts w:hint="eastAsia" w:hAnsi="宋体"/>
          <w:color w:val="auto"/>
          <w:highlight w:val="none"/>
        </w:rPr>
        <w:t>控制中心采用B/S架构管理，具备分组管理、策略制定下发，系统配置，灵活的管理方式。</w:t>
      </w:r>
    </w:p>
    <w:p>
      <w:pPr>
        <w:numPr>
          <w:ilvl w:val="0"/>
          <w:numId w:val="5"/>
        </w:numPr>
        <w:spacing w:line="360" w:lineRule="auto"/>
        <w:ind w:left="263" w:leftChars="125"/>
        <w:rPr>
          <w:rFonts w:hAnsi="宋体"/>
          <w:color w:val="auto"/>
          <w:highlight w:val="none"/>
        </w:rPr>
      </w:pPr>
      <w:r>
        <w:rPr>
          <w:rFonts w:hint="eastAsia" w:hAnsi="宋体"/>
          <w:color w:val="auto"/>
          <w:highlight w:val="none"/>
        </w:rPr>
        <w:t>产品具备公安部颁发的《计算机信息系统安全专用产品销售许可证》，产品厂商具备TL9000证书(提供证书)、产品厂商具备中国电子信息行业联合会颁发的信息系统建设和服务能力等级CS4证书(提供证书)。</w:t>
      </w:r>
    </w:p>
    <w:p>
      <w:pPr>
        <w:pStyle w:val="2"/>
        <w:rPr>
          <w:rFonts w:hint="default" w:ascii="Times New Roman" w:hAnsi="宋体" w:eastAsia="宋体" w:cs="Times New Roman"/>
          <w:b/>
          <w:bCs/>
          <w:color w:val="auto"/>
          <w:spacing w:val="0"/>
          <w:kern w:val="2"/>
          <w:sz w:val="24"/>
          <w:szCs w:val="24"/>
          <w:highlight w:val="none"/>
          <w:lang w:val="en-US" w:eastAsia="zh-CN" w:bidi="ar-SA"/>
        </w:rPr>
      </w:pPr>
      <w:r>
        <w:rPr>
          <w:rFonts w:hint="eastAsia" w:ascii="Times New Roman" w:hAnsi="宋体" w:eastAsia="宋体" w:cs="Times New Roman"/>
          <w:b/>
          <w:bCs/>
          <w:color w:val="auto"/>
          <w:spacing w:val="0"/>
          <w:kern w:val="2"/>
          <w:sz w:val="24"/>
          <w:szCs w:val="24"/>
          <w:highlight w:val="none"/>
          <w:lang w:val="en-US" w:eastAsia="zh-CN" w:bidi="ar-SA"/>
        </w:rPr>
        <w:t>802-44-1 高清车牌自动识别仪</w:t>
      </w:r>
    </w:p>
    <w:p>
      <w:pPr>
        <w:pStyle w:val="2"/>
        <w:rPr>
          <w:rFonts w:hint="default"/>
          <w:lang w:val="en-US" w:eastAsia="zh-CN"/>
        </w:rPr>
      </w:pPr>
      <w:r>
        <w:rPr>
          <w:rFonts w:hint="default"/>
          <w:lang w:val="en-US" w:eastAsia="zh-CN"/>
        </w:rPr>
        <w:t>应能记录通行车辆通过的全景特征图片和号牌图片，全景图片包含机动车前部（或后部）全貌、号牌、颜色、车型等信息，抓拍图片还应叠加车辆经过的收费站/收费车道或ETC 门架编号、抓拍时间、车牌号、车型、车辆品牌型号（如有）、行驶方向等信息。自动、准确识别通行车辆车牌颜色和车牌号码（可识别汉字、字母、数字、颜色等信息）。分辨率应不小于300 万像素。支持JPEG、H.264、H.265 等多码流输出。支持RJ-4510M/100M/1000M 自适应以太网接口或千兆光纤接口，以太网口数量不少于2个。支持在线升级，动态加载，期间业务不中断。支持直流或交流电源输入、支持交流电源同步。设备提供多个I/O 触发输入，支持I/O 和RS485 触发抓拍。设备提供RS232 或RS485 接口。设备提供外置SD/TF 卡接口，最大支持64GB。防护等级IP65。车牌图像识别准确率：在车速为0～220km/h 的条件下，≥95%（分子为正确识别车牌的数量，分母为实际通行车辆总数，车牌缺失、污损、遮挡等人眼不能准确识别除外）。</w:t>
      </w:r>
    </w:p>
    <w:p>
      <w:pPr>
        <w:tabs>
          <w:tab w:val="left" w:pos="312"/>
        </w:tabs>
        <w:topLinePunct/>
        <w:spacing w:line="360" w:lineRule="auto"/>
        <w:outlineLvl w:val="1"/>
        <w:rPr>
          <w:rFonts w:eastAsiaTheme="minorEastAsia"/>
          <w:b/>
          <w:snapToGrid w:val="0"/>
          <w:kern w:val="0"/>
          <w:szCs w:val="21"/>
        </w:rPr>
      </w:pP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05</w:t>
      </w:r>
      <w:r>
        <w:rPr>
          <w:color w:val="000000"/>
          <w:sz w:val="24"/>
          <w:u w:val="single"/>
        </w:rPr>
        <w:t>月</w:t>
      </w:r>
      <w:r>
        <w:rPr>
          <w:rFonts w:hint="eastAsia"/>
          <w:color w:val="000000"/>
          <w:sz w:val="24"/>
          <w:u w:val="single"/>
          <w:lang w:val="en-US" w:eastAsia="zh-CN"/>
        </w:rPr>
        <w:t xml:space="preserve">06 </w:t>
      </w:r>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957638088</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5" w:name="_Toc332793891"/>
      <w:bookmarkStart w:id="6" w:name="_Toc332793818"/>
      <w:bookmarkStart w:id="7" w:name="_Toc332965960"/>
      <w:r>
        <w:rPr>
          <w:b/>
          <w:snapToGrid w:val="0"/>
          <w:kern w:val="0"/>
          <w:sz w:val="24"/>
        </w:rPr>
        <w:t>联系方式</w:t>
      </w:r>
      <w:bookmarkEnd w:id="5"/>
      <w:bookmarkEnd w:id="6"/>
      <w:bookmarkEnd w:id="7"/>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卢</w:t>
      </w:r>
      <w:r>
        <w:rPr>
          <w:color w:val="000000"/>
          <w:sz w:val="24"/>
        </w:rPr>
        <w:t>工</w:t>
      </w:r>
    </w:p>
    <w:p>
      <w:pPr>
        <w:topLinePunct/>
        <w:spacing w:line="360" w:lineRule="auto"/>
        <w:rPr>
          <w:rFonts w:hint="default" w:eastAsia="宋体"/>
          <w:color w:val="000000"/>
          <w:sz w:val="24"/>
          <w:lang w:val="en-US" w:eastAsia="zh-CN"/>
        </w:rPr>
      </w:pPr>
      <w:r>
        <w:rPr>
          <w:color w:val="000000"/>
          <w:sz w:val="24"/>
        </w:rPr>
        <w:t>电      话：</w:t>
      </w:r>
      <w:r>
        <w:rPr>
          <w:rFonts w:hint="eastAsia"/>
          <w:color w:val="000000"/>
          <w:sz w:val="24"/>
          <w:lang w:val="en-US" w:eastAsia="zh-CN"/>
        </w:rPr>
        <w:t>17666577862</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05</w:t>
      </w:r>
      <w:r>
        <w:rPr>
          <w:color w:val="000000"/>
          <w:sz w:val="24"/>
        </w:rPr>
        <w:t>月</w:t>
      </w:r>
      <w:r>
        <w:rPr>
          <w:rFonts w:hint="eastAsia"/>
          <w:color w:val="000000"/>
          <w:sz w:val="24"/>
          <w:lang w:val="en-US" w:eastAsia="zh-CN"/>
        </w:rPr>
        <w:t xml:space="preserve"> 04</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4">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79C83044"/>
    <w:multiLevelType w:val="multilevel"/>
    <w:tmpl w:val="79C83044"/>
    <w:lvl w:ilvl="0" w:tentative="0">
      <w:start w:val="1"/>
      <w:numFmt w:val="bullet"/>
      <w:lvlText w:val=""/>
      <w:lvlJc w:val="left"/>
      <w:pPr>
        <w:ind w:left="0" w:hanging="420"/>
      </w:pPr>
      <w:rPr>
        <w:rFonts w:hint="default" w:ascii="Wingdings" w:hAnsi="Wingdings"/>
      </w:rPr>
    </w:lvl>
    <w:lvl w:ilvl="1" w:tentative="0">
      <w:start w:val="1"/>
      <w:numFmt w:val="bullet"/>
      <w:lvlText w:val=""/>
      <w:lvlJc w:val="left"/>
      <w:pPr>
        <w:ind w:left="420" w:hanging="420"/>
      </w:pPr>
      <w:rPr>
        <w:rFonts w:hint="default" w:ascii="Wingdings" w:hAnsi="Wingdings"/>
      </w:rPr>
    </w:lvl>
    <w:lvl w:ilvl="2" w:tentative="0">
      <w:start w:val="1"/>
      <w:numFmt w:val="bullet"/>
      <w:lvlText w:val=""/>
      <w:lvlJc w:val="left"/>
      <w:pPr>
        <w:ind w:left="840" w:hanging="420"/>
      </w:pPr>
      <w:rPr>
        <w:rFonts w:hint="default" w:ascii="Wingdings" w:hAnsi="Wingdings"/>
      </w:rPr>
    </w:lvl>
    <w:lvl w:ilvl="3" w:tentative="0">
      <w:start w:val="1"/>
      <w:numFmt w:val="bullet"/>
      <w:lvlText w:val=""/>
      <w:lvlJc w:val="left"/>
      <w:pPr>
        <w:ind w:left="1260" w:hanging="420"/>
      </w:pPr>
      <w:rPr>
        <w:rFonts w:hint="default" w:ascii="Wingdings" w:hAnsi="Wingdings"/>
      </w:rPr>
    </w:lvl>
    <w:lvl w:ilvl="4" w:tentative="0">
      <w:start w:val="1"/>
      <w:numFmt w:val="bullet"/>
      <w:lvlText w:val=""/>
      <w:lvlJc w:val="left"/>
      <w:pPr>
        <w:ind w:left="1680" w:hanging="420"/>
      </w:pPr>
      <w:rPr>
        <w:rFonts w:hint="default" w:ascii="Wingdings" w:hAnsi="Wingdings"/>
      </w:rPr>
    </w:lvl>
    <w:lvl w:ilvl="5" w:tentative="0">
      <w:start w:val="1"/>
      <w:numFmt w:val="bullet"/>
      <w:lvlText w:val=""/>
      <w:lvlJc w:val="left"/>
      <w:pPr>
        <w:ind w:left="2100" w:hanging="420"/>
      </w:pPr>
      <w:rPr>
        <w:rFonts w:hint="default" w:ascii="Wingdings" w:hAnsi="Wingdings"/>
      </w:rPr>
    </w:lvl>
    <w:lvl w:ilvl="6" w:tentative="0">
      <w:start w:val="1"/>
      <w:numFmt w:val="bullet"/>
      <w:lvlText w:val=""/>
      <w:lvlJc w:val="left"/>
      <w:pPr>
        <w:ind w:left="2520" w:hanging="420"/>
      </w:pPr>
      <w:rPr>
        <w:rFonts w:hint="default" w:ascii="Wingdings" w:hAnsi="Wingdings"/>
      </w:rPr>
    </w:lvl>
    <w:lvl w:ilvl="7" w:tentative="0">
      <w:start w:val="1"/>
      <w:numFmt w:val="bullet"/>
      <w:lvlText w:val=""/>
      <w:lvlJc w:val="left"/>
      <w:pPr>
        <w:ind w:left="2940" w:hanging="420"/>
      </w:pPr>
      <w:rPr>
        <w:rFonts w:hint="default" w:ascii="Wingdings" w:hAnsi="Wingdings"/>
      </w:rPr>
    </w:lvl>
    <w:lvl w:ilvl="8" w:tentative="0">
      <w:start w:val="1"/>
      <w:numFmt w:val="bullet"/>
      <w:lvlText w:val=""/>
      <w:lvlJc w:val="left"/>
      <w:pPr>
        <w:ind w:left="3360" w:hanging="420"/>
      </w:pPr>
      <w:rPr>
        <w:rFonts w:hint="default" w:ascii="Wingdings" w:hAnsi="Wingdings"/>
      </w:rPr>
    </w:lvl>
  </w:abstractNum>
  <w:num w:numId="1">
    <w:abstractNumId w:val="2"/>
  </w:num>
  <w:num w:numId="2">
    <w:abstractNumId w:val="4"/>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006FE"/>
    <w:rsid w:val="009A3C9A"/>
    <w:rsid w:val="00CC1A2E"/>
    <w:rsid w:val="00ED32E4"/>
    <w:rsid w:val="00EE2011"/>
    <w:rsid w:val="00FA736A"/>
    <w:rsid w:val="00FC4153"/>
    <w:rsid w:val="00FD7ED5"/>
    <w:rsid w:val="02040FDF"/>
    <w:rsid w:val="03393105"/>
    <w:rsid w:val="046E3765"/>
    <w:rsid w:val="061439B5"/>
    <w:rsid w:val="06622CB2"/>
    <w:rsid w:val="072D08E0"/>
    <w:rsid w:val="08EE3671"/>
    <w:rsid w:val="0A69025B"/>
    <w:rsid w:val="0DA26991"/>
    <w:rsid w:val="0ECB4993"/>
    <w:rsid w:val="112A7044"/>
    <w:rsid w:val="12ED5CBA"/>
    <w:rsid w:val="14C447F8"/>
    <w:rsid w:val="18606150"/>
    <w:rsid w:val="19B32EC3"/>
    <w:rsid w:val="1A786886"/>
    <w:rsid w:val="1D5379E4"/>
    <w:rsid w:val="1DC008E5"/>
    <w:rsid w:val="1F3E25C9"/>
    <w:rsid w:val="1F8905C9"/>
    <w:rsid w:val="20205D7D"/>
    <w:rsid w:val="2039362C"/>
    <w:rsid w:val="24875F4B"/>
    <w:rsid w:val="28126A09"/>
    <w:rsid w:val="292922C2"/>
    <w:rsid w:val="2A6117E0"/>
    <w:rsid w:val="2A9C2048"/>
    <w:rsid w:val="2B975488"/>
    <w:rsid w:val="2BB05A29"/>
    <w:rsid w:val="2BBE1469"/>
    <w:rsid w:val="2C101B15"/>
    <w:rsid w:val="2D393A69"/>
    <w:rsid w:val="2E0860D1"/>
    <w:rsid w:val="2E5A20BA"/>
    <w:rsid w:val="2ECB5FE2"/>
    <w:rsid w:val="34403FA4"/>
    <w:rsid w:val="34DB5F68"/>
    <w:rsid w:val="35912415"/>
    <w:rsid w:val="38A511DA"/>
    <w:rsid w:val="3A7D6982"/>
    <w:rsid w:val="3BDA652C"/>
    <w:rsid w:val="3C047712"/>
    <w:rsid w:val="3DD1395F"/>
    <w:rsid w:val="3E8C010F"/>
    <w:rsid w:val="3EFD65C9"/>
    <w:rsid w:val="400E2C48"/>
    <w:rsid w:val="403A795B"/>
    <w:rsid w:val="4044389B"/>
    <w:rsid w:val="40C03B09"/>
    <w:rsid w:val="420F343E"/>
    <w:rsid w:val="42100EF9"/>
    <w:rsid w:val="434B112E"/>
    <w:rsid w:val="435E6014"/>
    <w:rsid w:val="46C97C03"/>
    <w:rsid w:val="472B5FAC"/>
    <w:rsid w:val="48AD79E8"/>
    <w:rsid w:val="4908486B"/>
    <w:rsid w:val="49DC5C4D"/>
    <w:rsid w:val="4A44006F"/>
    <w:rsid w:val="4B3F4F38"/>
    <w:rsid w:val="4BFB311F"/>
    <w:rsid w:val="4DA31AFF"/>
    <w:rsid w:val="4DB34E2F"/>
    <w:rsid w:val="50DE6FEF"/>
    <w:rsid w:val="50E310BB"/>
    <w:rsid w:val="515756D7"/>
    <w:rsid w:val="52871060"/>
    <w:rsid w:val="52BF1F4D"/>
    <w:rsid w:val="52ED4007"/>
    <w:rsid w:val="54210D44"/>
    <w:rsid w:val="560F1B9D"/>
    <w:rsid w:val="57BF2D4E"/>
    <w:rsid w:val="58B74CBC"/>
    <w:rsid w:val="5B2814D9"/>
    <w:rsid w:val="5E8E770E"/>
    <w:rsid w:val="5F087C2D"/>
    <w:rsid w:val="61147E15"/>
    <w:rsid w:val="623B7383"/>
    <w:rsid w:val="63166D1A"/>
    <w:rsid w:val="65922BE0"/>
    <w:rsid w:val="6AC87D14"/>
    <w:rsid w:val="6C083654"/>
    <w:rsid w:val="6C094604"/>
    <w:rsid w:val="6C751B3B"/>
    <w:rsid w:val="6E354925"/>
    <w:rsid w:val="6E4A295F"/>
    <w:rsid w:val="710B2708"/>
    <w:rsid w:val="724471CD"/>
    <w:rsid w:val="74963E13"/>
    <w:rsid w:val="760D37CC"/>
    <w:rsid w:val="77B6314B"/>
    <w:rsid w:val="79E2018B"/>
    <w:rsid w:val="7AB074F6"/>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Body Text"/>
    <w:basedOn w:val="1"/>
    <w:next w:val="1"/>
    <w:qFormat/>
    <w:uiPriority w:val="0"/>
    <w:pPr>
      <w:spacing w:after="120"/>
    </w:pPr>
    <w:rPr>
      <w:rFonts w:ascii="Calibri" w:hAnsi="宋体"/>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 w:type="character" w:customStyle="1" w:styleId="41">
    <w:name w:val="font41"/>
    <w:basedOn w:val="15"/>
    <w:qFormat/>
    <w:uiPriority w:val="0"/>
    <w:rPr>
      <w:rFonts w:hint="default" w:ascii="Times New Roman" w:hAnsi="Times New Roman" w:cs="Times New Roman"/>
      <w:color w:val="000000"/>
      <w:sz w:val="18"/>
      <w:szCs w:val="18"/>
      <w:u w:val="none"/>
    </w:rPr>
  </w:style>
  <w:style w:type="character" w:customStyle="1" w:styleId="42">
    <w:name w:val="font3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3883</Words>
  <Characters>4447</Characters>
  <Lines>61</Lines>
  <Paragraphs>17</Paragraphs>
  <TotalTime>1</TotalTime>
  <ScaleCrop>false</ScaleCrop>
  <LinksUpToDate>false</LinksUpToDate>
  <CharactersWithSpaces>4530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倾她国@做她王</cp:lastModifiedBy>
  <cp:lastPrinted>2022-10-20T06:50:00Z</cp:lastPrinted>
  <dcterms:modified xsi:type="dcterms:W3CDTF">2023-05-04T03:02:12Z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